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C1C5" w14:textId="77777777" w:rsidR="00FF2393" w:rsidRDefault="00C84131" w:rsidP="00327CAF">
      <w:pPr>
        <w:pStyle w:val="Onlyuseindocheader-doctitle"/>
        <w:rPr>
          <w:rFonts w:ascii="Soho Std Heavy" w:hAnsi="Soho Std Heavy"/>
        </w:rPr>
      </w:pPr>
      <w:r w:rsidRPr="00327CAF">
        <w:rPr>
          <w:b/>
        </w:rPr>
        <w:t>Equality impact assessment</w:t>
      </w:r>
      <w:r w:rsidR="00327CAF">
        <w:rPr>
          <w:rFonts w:ascii="Soho Std Heavy" w:hAnsi="Soho Std Heavy"/>
        </w:rPr>
        <w:t xml:space="preserve"> </w:t>
      </w:r>
    </w:p>
    <w:p w14:paraId="15E35C70" w14:textId="513C0348" w:rsidR="00C84131" w:rsidRPr="00327CAF" w:rsidRDefault="00FF2393" w:rsidP="00327CAF">
      <w:pPr>
        <w:pStyle w:val="Onlyuseindocheader-doctitle"/>
        <w:rPr>
          <w:rFonts w:ascii="Soho Std Heavy" w:hAnsi="Soho Std Heavy"/>
        </w:rPr>
      </w:pPr>
      <w:r>
        <w:rPr>
          <w:rFonts w:ascii="Soho Std Heavy" w:hAnsi="Soho Std Heavy"/>
        </w:rPr>
        <w:t xml:space="preserve">SGB investment - </w:t>
      </w:r>
      <w:proofErr w:type="gramStart"/>
      <w:r w:rsidR="00327CAF" w:rsidRPr="00FF2393">
        <w:rPr>
          <w:rFonts w:ascii="Soho Std Heavy" w:hAnsi="Soho Std Heavy"/>
        </w:rPr>
        <w:t>Small</w:t>
      </w:r>
      <w:proofErr w:type="gramEnd"/>
      <w:r w:rsidR="00327CAF" w:rsidRPr="00FF2393">
        <w:rPr>
          <w:rFonts w:ascii="Soho Std Heavy" w:hAnsi="Soho Std Heavy"/>
        </w:rPr>
        <w:t xml:space="preserve"> sports policy</w:t>
      </w:r>
    </w:p>
    <w:p w14:paraId="4E5E023D" w14:textId="55322B0B" w:rsidR="00C84131" w:rsidRDefault="00C84131" w:rsidP="00C84131">
      <w:r>
        <w:rPr>
          <w:noProof/>
          <w:sz w:val="52"/>
          <w:szCs w:val="52"/>
        </w:rPr>
        <w:drawing>
          <wp:anchor distT="0" distB="0" distL="114300" distR="114300" simplePos="0" relativeHeight="251658240" behindDoc="1" locked="0" layoutInCell="1" allowOverlap="1" wp14:anchorId="09BE9AFD" wp14:editId="264D0D67">
            <wp:simplePos x="0" y="0"/>
            <wp:positionH relativeFrom="column">
              <wp:posOffset>6717030</wp:posOffset>
            </wp:positionH>
            <wp:positionV relativeFrom="paragraph">
              <wp:posOffset>262255</wp:posOffset>
            </wp:positionV>
            <wp:extent cx="2305050" cy="46037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p>
    <w:p w14:paraId="0788B7EE" w14:textId="36425E22" w:rsidR="00C84131" w:rsidRPr="00DD120E" w:rsidRDefault="00C84131" w:rsidP="00C84131">
      <w:pPr>
        <w:spacing w:after="480"/>
        <w:jc w:val="both"/>
        <w:rPr>
          <w:sz w:val="52"/>
          <w:szCs w:val="52"/>
        </w:rPr>
      </w:pPr>
      <w:r>
        <w:rPr>
          <w:noProof/>
          <w:sz w:val="52"/>
          <w:szCs w:val="52"/>
        </w:rPr>
        <w:drawing>
          <wp:inline distT="0" distB="0" distL="0" distR="0" wp14:anchorId="1A9DFFD6" wp14:editId="4B15306D">
            <wp:extent cx="1047327" cy="423092"/>
            <wp:effectExtent l="0" t="0" r="0" b="8890"/>
            <wp:docPr id="5" name="Picture 5" descr="Image with the sportscotland corporate strategy including the text 'sport for li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with the sportscotland corporate strategy including the text 'sport for life'&#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140" cy="423824"/>
                    </a:xfrm>
                    <a:prstGeom prst="rect">
                      <a:avLst/>
                    </a:prstGeom>
                    <a:noFill/>
                    <a:ln>
                      <a:noFill/>
                    </a:ln>
                  </pic:spPr>
                </pic:pic>
              </a:graphicData>
            </a:graphic>
          </wp:inline>
        </w:drawing>
      </w:r>
    </w:p>
    <w:p w14:paraId="6371F949" w14:textId="77777777" w:rsidR="003E6D6F" w:rsidRDefault="003E6D6F" w:rsidP="003E6D6F">
      <w:pPr>
        <w:rPr>
          <w:b/>
          <w:bCs/>
          <w:sz w:val="28"/>
          <w:szCs w:val="22"/>
        </w:rPr>
      </w:pPr>
    </w:p>
    <w:p w14:paraId="101B2381" w14:textId="22014C5C" w:rsidR="00AF552D" w:rsidRPr="00F114B2" w:rsidRDefault="00C84131" w:rsidP="003E6D6F">
      <w:pPr>
        <w:rPr>
          <w:b/>
          <w:sz w:val="32"/>
          <w:szCs w:val="28"/>
          <w:lang w:val="en-US"/>
        </w:rPr>
      </w:pPr>
      <w:r w:rsidRPr="00F114B2">
        <w:rPr>
          <w:b/>
          <w:sz w:val="32"/>
          <w:szCs w:val="28"/>
          <w:lang w:val="en-US"/>
        </w:rPr>
        <w:t xml:space="preserve">Name of </w:t>
      </w:r>
      <w:r w:rsidR="00F114B2">
        <w:rPr>
          <w:b/>
          <w:sz w:val="32"/>
          <w:szCs w:val="28"/>
          <w:lang w:val="en-US"/>
        </w:rPr>
        <w:t>project</w:t>
      </w:r>
      <w:r w:rsidR="00995CEE">
        <w:rPr>
          <w:b/>
          <w:sz w:val="32"/>
          <w:szCs w:val="28"/>
          <w:lang w:val="en-US"/>
        </w:rPr>
        <w:t xml:space="preserve">: </w:t>
      </w:r>
      <w:r w:rsidR="00FF2393">
        <w:rPr>
          <w:b/>
          <w:sz w:val="32"/>
          <w:szCs w:val="28"/>
          <w:lang w:val="en-US"/>
        </w:rPr>
        <w:t xml:space="preserve">SGB investment - </w:t>
      </w:r>
      <w:proofErr w:type="gramStart"/>
      <w:r w:rsidR="00F21AB3" w:rsidRPr="00FF2393">
        <w:rPr>
          <w:b/>
          <w:sz w:val="32"/>
          <w:szCs w:val="28"/>
          <w:lang w:val="en-US"/>
        </w:rPr>
        <w:t>Small</w:t>
      </w:r>
      <w:proofErr w:type="gramEnd"/>
      <w:r w:rsidR="00F21AB3" w:rsidRPr="00FF2393">
        <w:rPr>
          <w:b/>
          <w:sz w:val="32"/>
          <w:szCs w:val="28"/>
          <w:lang w:val="en-US"/>
        </w:rPr>
        <w:t xml:space="preserve"> sports policy</w:t>
      </w:r>
    </w:p>
    <w:p w14:paraId="51530147" w14:textId="7864D862" w:rsidR="008344F1" w:rsidRPr="00F114B2" w:rsidRDefault="008344F1" w:rsidP="00787538">
      <w:pPr>
        <w:rPr>
          <w:b/>
          <w:sz w:val="32"/>
          <w:szCs w:val="28"/>
          <w:lang w:val="en-US"/>
        </w:rPr>
      </w:pPr>
    </w:p>
    <w:p w14:paraId="4FCE0E67" w14:textId="12E7B896" w:rsidR="008344F1" w:rsidRPr="00995CEE" w:rsidRDefault="008344F1" w:rsidP="00787538">
      <w:pPr>
        <w:rPr>
          <w:bCs/>
          <w:sz w:val="28"/>
          <w:szCs w:val="24"/>
          <w:lang w:val="en-US"/>
        </w:rPr>
      </w:pPr>
      <w:r w:rsidRPr="00F114B2">
        <w:rPr>
          <w:b/>
          <w:sz w:val="32"/>
          <w:szCs w:val="28"/>
          <w:lang w:val="en-US"/>
        </w:rPr>
        <w:t>EQIA lead</w:t>
      </w:r>
      <w:r w:rsidR="00E03074" w:rsidRPr="00F114B2">
        <w:rPr>
          <w:b/>
          <w:sz w:val="32"/>
          <w:szCs w:val="28"/>
          <w:lang w:val="en-US"/>
        </w:rPr>
        <w:t>(</w:t>
      </w:r>
      <w:r w:rsidRPr="00F114B2">
        <w:rPr>
          <w:b/>
          <w:sz w:val="32"/>
          <w:szCs w:val="28"/>
          <w:lang w:val="en-US"/>
        </w:rPr>
        <w:t>s</w:t>
      </w:r>
      <w:r w:rsidR="00E03074" w:rsidRPr="00F114B2">
        <w:rPr>
          <w:b/>
          <w:sz w:val="32"/>
          <w:szCs w:val="28"/>
          <w:lang w:val="en-US"/>
        </w:rPr>
        <w:t>)</w:t>
      </w:r>
      <w:r w:rsidRPr="00F114B2">
        <w:rPr>
          <w:b/>
          <w:sz w:val="32"/>
          <w:szCs w:val="28"/>
          <w:lang w:val="en-US"/>
        </w:rPr>
        <w:t xml:space="preserve">: </w:t>
      </w:r>
      <w:r w:rsidR="00995CEE" w:rsidRPr="00995CEE">
        <w:rPr>
          <w:bCs/>
          <w:sz w:val="28"/>
          <w:szCs w:val="24"/>
          <w:lang w:val="en-US"/>
        </w:rPr>
        <w:t>Rob Hardie</w:t>
      </w:r>
      <w:r w:rsidR="001D28A3">
        <w:rPr>
          <w:bCs/>
          <w:sz w:val="28"/>
          <w:szCs w:val="24"/>
          <w:lang w:val="en-US"/>
        </w:rPr>
        <w:t xml:space="preserve">, </w:t>
      </w:r>
      <w:r w:rsidR="00995CEE" w:rsidRPr="00995CEE">
        <w:rPr>
          <w:bCs/>
          <w:sz w:val="28"/>
          <w:szCs w:val="24"/>
          <w:lang w:val="en-US"/>
        </w:rPr>
        <w:t xml:space="preserve">Peter Braidwood </w:t>
      </w:r>
    </w:p>
    <w:p w14:paraId="14535CD3" w14:textId="4ADCE24A" w:rsidR="00613CF8" w:rsidRPr="003E6D6F" w:rsidRDefault="00613CF8" w:rsidP="003E6D6F">
      <w:pPr>
        <w:spacing w:before="480" w:after="120" w:line="240" w:lineRule="atLeast"/>
        <w:outlineLvl w:val="0"/>
        <w:rPr>
          <w:b/>
          <w:sz w:val="32"/>
          <w:szCs w:val="28"/>
          <w:lang w:val="en-US"/>
        </w:rPr>
      </w:pPr>
      <w:r w:rsidRPr="00E03074">
        <w:rPr>
          <w:b/>
          <w:sz w:val="32"/>
          <w:szCs w:val="28"/>
          <w:lang w:val="en-US"/>
        </w:rPr>
        <w:t xml:space="preserve">Section 1 – Description of </w:t>
      </w:r>
      <w:r w:rsidR="002902CB">
        <w:rPr>
          <w:b/>
          <w:sz w:val="32"/>
          <w:szCs w:val="28"/>
          <w:lang w:val="en-US"/>
        </w:rPr>
        <w:t xml:space="preserve">project, </w:t>
      </w:r>
      <w:proofErr w:type="gramStart"/>
      <w:r w:rsidR="00E96C98">
        <w:rPr>
          <w:b/>
          <w:sz w:val="32"/>
          <w:szCs w:val="28"/>
          <w:lang w:val="en-US"/>
        </w:rPr>
        <w:t>programme</w:t>
      </w:r>
      <w:proofErr w:type="gramEnd"/>
      <w:r w:rsidR="002902CB" w:rsidRPr="002902CB">
        <w:t xml:space="preserve"> </w:t>
      </w:r>
      <w:r w:rsidR="002902CB" w:rsidRPr="002902CB">
        <w:rPr>
          <w:b/>
          <w:sz w:val="32"/>
          <w:szCs w:val="28"/>
          <w:lang w:val="en-US"/>
        </w:rPr>
        <w:t>or service</w:t>
      </w:r>
    </w:p>
    <w:tbl>
      <w:tblPr>
        <w:tblStyle w:val="TableGrid"/>
        <w:tblW w:w="14170" w:type="dxa"/>
        <w:tblLook w:val="04A0" w:firstRow="1" w:lastRow="0" w:firstColumn="1" w:lastColumn="0" w:noHBand="0" w:noVBand="1"/>
      </w:tblPr>
      <w:tblGrid>
        <w:gridCol w:w="14170"/>
      </w:tblGrid>
      <w:tr w:rsidR="00613CF8" w14:paraId="70496B5E" w14:textId="77777777" w:rsidTr="00383E7C">
        <w:trPr>
          <w:trHeight w:val="983"/>
        </w:trPr>
        <w:tc>
          <w:tcPr>
            <w:tcW w:w="14170" w:type="dxa"/>
          </w:tcPr>
          <w:p w14:paraId="6F38AA27" w14:textId="4A9A5C46" w:rsidR="00613CF8" w:rsidRPr="001E2E5E" w:rsidRDefault="00613CF8" w:rsidP="001E2E5E">
            <w:pPr>
              <w:pStyle w:val="Heading2"/>
              <w:numPr>
                <w:ilvl w:val="0"/>
                <w:numId w:val="0"/>
              </w:numPr>
              <w:spacing w:after="240" w:line="276" w:lineRule="auto"/>
              <w:rPr>
                <w:b/>
                <w:bCs/>
                <w:szCs w:val="24"/>
              </w:rPr>
            </w:pPr>
            <w:r w:rsidRPr="001E2E5E">
              <w:rPr>
                <w:b/>
                <w:bCs/>
                <w:szCs w:val="24"/>
              </w:rPr>
              <w:t>Background</w:t>
            </w:r>
          </w:p>
          <w:p w14:paraId="36E8D48B" w14:textId="07214245" w:rsidR="000C57D3" w:rsidRDefault="000C57D3" w:rsidP="001E2E5E">
            <w:pPr>
              <w:spacing w:after="120" w:line="276" w:lineRule="auto"/>
            </w:pPr>
            <w:r>
              <w:t xml:space="preserve">We invest in </w:t>
            </w:r>
            <w:r w:rsidR="00EC68FE">
              <w:t>Scottish governing bodies of sport</w:t>
            </w:r>
            <w:r>
              <w:t xml:space="preserve"> </w:t>
            </w:r>
            <w:r w:rsidR="00EC68FE">
              <w:t xml:space="preserve">(SGBs) </w:t>
            </w:r>
            <w:r>
              <w:t>to deliver development and performance outputs and ensure good governance is in place across the organisation. The outputs we invest in are:</w:t>
            </w:r>
          </w:p>
          <w:p w14:paraId="1D2EB256" w14:textId="1F1A6608" w:rsidR="000C57D3" w:rsidRDefault="000C57D3" w:rsidP="001E2E5E">
            <w:pPr>
              <w:pStyle w:val="ListParagraph"/>
              <w:numPr>
                <w:ilvl w:val="0"/>
                <w:numId w:val="30"/>
              </w:numPr>
              <w:spacing w:after="120" w:line="276" w:lineRule="auto"/>
              <w:ind w:left="714" w:hanging="357"/>
              <w:contextualSpacing w:val="0"/>
            </w:pPr>
            <w:r w:rsidRPr="00EC68FE">
              <w:rPr>
                <w:b/>
              </w:rPr>
              <w:t>Membership</w:t>
            </w:r>
            <w:r>
              <w:t xml:space="preserve"> - Partners retaining and where applicable increasing membership through an innovative, </w:t>
            </w:r>
            <w:proofErr w:type="gramStart"/>
            <w:r>
              <w:t>progressive</w:t>
            </w:r>
            <w:proofErr w:type="gramEnd"/>
            <w:r>
              <w:t xml:space="preserve"> and systematic approach to development. </w:t>
            </w:r>
          </w:p>
          <w:p w14:paraId="75521065" w14:textId="67A8A7EB" w:rsidR="000C57D3" w:rsidRDefault="000C57D3" w:rsidP="001E2E5E">
            <w:pPr>
              <w:pStyle w:val="ListParagraph"/>
              <w:numPr>
                <w:ilvl w:val="0"/>
                <w:numId w:val="30"/>
              </w:numPr>
              <w:spacing w:after="120" w:line="276" w:lineRule="auto"/>
              <w:ind w:left="714" w:hanging="357"/>
              <w:contextualSpacing w:val="0"/>
            </w:pPr>
            <w:r w:rsidRPr="00EC68FE">
              <w:rPr>
                <w:b/>
              </w:rPr>
              <w:t>Pathways</w:t>
            </w:r>
            <w:r>
              <w:t xml:space="preserve"> - Partners providing opportunities for all to participate, progress, be retained within the sport and to meet their aspirations.</w:t>
            </w:r>
          </w:p>
          <w:p w14:paraId="42F480E9" w14:textId="04201096" w:rsidR="000C57D3" w:rsidRDefault="000C57D3" w:rsidP="001E2E5E">
            <w:pPr>
              <w:pStyle w:val="ListParagraph"/>
              <w:numPr>
                <w:ilvl w:val="0"/>
                <w:numId w:val="30"/>
              </w:numPr>
              <w:spacing w:after="120" w:line="276" w:lineRule="auto"/>
              <w:ind w:left="714" w:hanging="357"/>
              <w:contextualSpacing w:val="0"/>
            </w:pPr>
            <w:r w:rsidRPr="00EC68FE">
              <w:rPr>
                <w:b/>
              </w:rPr>
              <w:t>Competition and events</w:t>
            </w:r>
            <w:r>
              <w:t xml:space="preserve"> – Partners developing appropriate environments for participants to learn, progress and compete at their respective age and stage of the pathway.</w:t>
            </w:r>
          </w:p>
          <w:p w14:paraId="24F652A5" w14:textId="5163FCC3" w:rsidR="000C57D3" w:rsidRDefault="000C57D3" w:rsidP="001E2E5E">
            <w:pPr>
              <w:pStyle w:val="ListParagraph"/>
              <w:numPr>
                <w:ilvl w:val="0"/>
                <w:numId w:val="30"/>
              </w:numPr>
              <w:spacing w:after="120" w:line="276" w:lineRule="auto"/>
              <w:ind w:left="714" w:hanging="357"/>
              <w:contextualSpacing w:val="0"/>
            </w:pPr>
            <w:r w:rsidRPr="00EC68FE">
              <w:rPr>
                <w:b/>
              </w:rPr>
              <w:lastRenderedPageBreak/>
              <w:t>People</w:t>
            </w:r>
            <w:r>
              <w:t xml:space="preserve"> – Partners collaboratively developing a sufficient, suitably qualified workforce with the right skills, </w:t>
            </w:r>
            <w:proofErr w:type="gramStart"/>
            <w:r>
              <w:t>knowledge</w:t>
            </w:r>
            <w:proofErr w:type="gramEnd"/>
            <w:r>
              <w:t xml:space="preserve"> and experience, to meet the needs of the full range of participants and environments within their sport. </w:t>
            </w:r>
          </w:p>
          <w:p w14:paraId="332334F0" w14:textId="77777777" w:rsidR="00EC68FE" w:rsidRDefault="000C57D3" w:rsidP="001E2E5E">
            <w:pPr>
              <w:pStyle w:val="ListParagraph"/>
              <w:numPr>
                <w:ilvl w:val="0"/>
                <w:numId w:val="30"/>
              </w:numPr>
              <w:spacing w:after="120" w:line="276" w:lineRule="auto"/>
              <w:ind w:left="714" w:hanging="357"/>
              <w:contextualSpacing w:val="0"/>
            </w:pPr>
            <w:r w:rsidRPr="00EC68FE">
              <w:rPr>
                <w:b/>
              </w:rPr>
              <w:t>Equality and inclusion</w:t>
            </w:r>
            <w:r>
              <w:t xml:space="preserve"> – Partners developing a clear understanding of the barriers to participation within their sport and applying a systematic approach to widening access, including a focus on ways of increasing the number of inactive people who become active. </w:t>
            </w:r>
          </w:p>
          <w:p w14:paraId="39B10A33" w14:textId="77777777" w:rsidR="00EC68FE" w:rsidRDefault="000C57D3" w:rsidP="001E2E5E">
            <w:pPr>
              <w:pStyle w:val="ListParagraph"/>
              <w:numPr>
                <w:ilvl w:val="0"/>
                <w:numId w:val="30"/>
              </w:numPr>
              <w:spacing w:after="120" w:line="276" w:lineRule="auto"/>
              <w:ind w:left="714" w:hanging="357"/>
              <w:contextualSpacing w:val="0"/>
            </w:pPr>
            <w:r w:rsidRPr="00EC68FE">
              <w:rPr>
                <w:b/>
              </w:rPr>
              <w:t>Olympic and Paralympic games</w:t>
            </w:r>
            <w:r>
              <w:t xml:space="preserve"> – Representation on teams and contribution to medals. </w:t>
            </w:r>
          </w:p>
          <w:p w14:paraId="5552C7E2" w14:textId="77777777" w:rsidR="00EC68FE" w:rsidRDefault="000C57D3" w:rsidP="001E2E5E">
            <w:pPr>
              <w:pStyle w:val="ListParagraph"/>
              <w:numPr>
                <w:ilvl w:val="0"/>
                <w:numId w:val="30"/>
              </w:numPr>
              <w:spacing w:after="120" w:line="276" w:lineRule="auto"/>
              <w:ind w:left="714" w:hanging="357"/>
              <w:contextualSpacing w:val="0"/>
            </w:pPr>
            <w:r w:rsidRPr="00EC68FE">
              <w:rPr>
                <w:b/>
              </w:rPr>
              <w:t>Commonwealth Games</w:t>
            </w:r>
            <w:r>
              <w:t xml:space="preserve"> – Team Scotland medals.</w:t>
            </w:r>
          </w:p>
          <w:p w14:paraId="58CBB256" w14:textId="77777777" w:rsidR="00EC68FE" w:rsidRDefault="000C57D3" w:rsidP="001E2E5E">
            <w:pPr>
              <w:pStyle w:val="ListParagraph"/>
              <w:numPr>
                <w:ilvl w:val="0"/>
                <w:numId w:val="30"/>
              </w:numPr>
              <w:spacing w:after="120" w:line="276" w:lineRule="auto"/>
              <w:ind w:left="714" w:hanging="357"/>
              <w:contextualSpacing w:val="0"/>
            </w:pPr>
            <w:r w:rsidRPr="00EC68FE">
              <w:rPr>
                <w:b/>
              </w:rPr>
              <w:t>UK Sport Programmes</w:t>
            </w:r>
            <w:r>
              <w:t xml:space="preserve"> – Successful athlete contribution to World Class Podium / Podium Potential funded programmes.</w:t>
            </w:r>
          </w:p>
          <w:p w14:paraId="7953F5AF" w14:textId="6BF0381F" w:rsidR="000C57D3" w:rsidRDefault="000C57D3" w:rsidP="001E2E5E">
            <w:pPr>
              <w:pStyle w:val="ListParagraph"/>
              <w:numPr>
                <w:ilvl w:val="0"/>
                <w:numId w:val="30"/>
              </w:numPr>
              <w:spacing w:after="120" w:line="276" w:lineRule="auto"/>
              <w:ind w:left="714" w:hanging="357"/>
              <w:contextualSpacing w:val="0"/>
            </w:pPr>
            <w:r w:rsidRPr="00EC68FE">
              <w:rPr>
                <w:b/>
              </w:rPr>
              <w:t>International Performance</w:t>
            </w:r>
            <w:r>
              <w:t xml:space="preserve"> – Significant and sustained international success</w:t>
            </w:r>
            <w:r w:rsidR="001E2E5E" w:rsidRPr="001E2E5E">
              <w:rPr>
                <w:szCs w:val="24"/>
              </w:rPr>
              <w:t>.</w:t>
            </w:r>
          </w:p>
          <w:p w14:paraId="1500B356" w14:textId="4B0A7229" w:rsidR="001E2E5E" w:rsidRPr="001E2E5E" w:rsidRDefault="001E2E5E" w:rsidP="00FF2393">
            <w:pPr>
              <w:spacing w:before="240" w:after="120" w:line="276" w:lineRule="auto"/>
              <w:rPr>
                <w:szCs w:val="24"/>
              </w:rPr>
            </w:pPr>
            <w:r w:rsidRPr="001E2E5E">
              <w:rPr>
                <w:szCs w:val="24"/>
                <w:lang w:eastAsia="en-GB"/>
              </w:rPr>
              <w:t xml:space="preserve">For further information, </w:t>
            </w:r>
            <w:r w:rsidRPr="001E2E5E">
              <w:rPr>
                <w:szCs w:val="24"/>
              </w:rPr>
              <w:t xml:space="preserve">an in-depth equality impact assessment on Scottish Governing Body Investment Outputs can be accessed at: </w:t>
            </w:r>
            <w:hyperlink r:id="rId14" w:history="1">
              <w:r w:rsidRPr="001E2E5E">
                <w:rPr>
                  <w:rStyle w:val="Hyperlink"/>
                  <w:szCs w:val="24"/>
                </w:rPr>
                <w:t>SGB Investment - EQIA - May 2021</w:t>
              </w:r>
            </w:hyperlink>
          </w:p>
          <w:p w14:paraId="005E2844" w14:textId="77777777" w:rsidR="00C20614" w:rsidRDefault="00C20614" w:rsidP="001E2E5E">
            <w:pPr>
              <w:spacing w:line="276" w:lineRule="auto"/>
            </w:pPr>
          </w:p>
          <w:p w14:paraId="34AEBE65" w14:textId="77777777" w:rsidR="00C20614" w:rsidRPr="00B6296D" w:rsidRDefault="00C20614" w:rsidP="001E2E5E">
            <w:pPr>
              <w:spacing w:after="240" w:line="276" w:lineRule="auto"/>
              <w:rPr>
                <w:b/>
                <w:szCs w:val="22"/>
              </w:rPr>
            </w:pPr>
            <w:r w:rsidRPr="00B6296D">
              <w:rPr>
                <w:b/>
                <w:szCs w:val="22"/>
              </w:rPr>
              <w:t>SGB investment framework</w:t>
            </w:r>
          </w:p>
          <w:p w14:paraId="2ECAEE9A" w14:textId="77777777" w:rsidR="00C20614" w:rsidRDefault="00C20614" w:rsidP="001E2E5E">
            <w:pPr>
              <w:spacing w:after="120" w:line="276" w:lineRule="auto"/>
              <w:rPr>
                <w:szCs w:val="22"/>
              </w:rPr>
            </w:pPr>
            <w:r w:rsidRPr="00470F3A">
              <w:rPr>
                <w:szCs w:val="22"/>
              </w:rPr>
              <w:t xml:space="preserve">The SGB investment </w:t>
            </w:r>
            <w:r>
              <w:rPr>
                <w:szCs w:val="22"/>
              </w:rPr>
              <w:t xml:space="preserve">framework explains how we implement SGB investment. We ask </w:t>
            </w:r>
            <w:r w:rsidRPr="00470F3A">
              <w:rPr>
                <w:szCs w:val="22"/>
              </w:rPr>
              <w:t xml:space="preserve">SGBs to </w:t>
            </w:r>
            <w:r w:rsidRPr="00470F3A">
              <w:rPr>
                <w:rFonts w:eastAsiaTheme="minorHAnsi" w:cs="Arial"/>
                <w:szCs w:val="22"/>
              </w:rPr>
              <w:t>produce a single integrated plan which takes a medium to long term approach</w:t>
            </w:r>
            <w:r w:rsidRPr="00470F3A">
              <w:rPr>
                <w:szCs w:val="22"/>
              </w:rPr>
              <w:t xml:space="preserve"> aligned to </w:t>
            </w:r>
            <w:r>
              <w:rPr>
                <w:szCs w:val="22"/>
              </w:rPr>
              <w:t>our development and performance</w:t>
            </w:r>
            <w:r w:rsidRPr="00470F3A">
              <w:rPr>
                <w:szCs w:val="22"/>
              </w:rPr>
              <w:t xml:space="preserve"> outputs. </w:t>
            </w:r>
            <w:r>
              <w:rPr>
                <w:szCs w:val="22"/>
              </w:rPr>
              <w:t xml:space="preserve">We seek to agree “in principle” investment levels against these plans. </w:t>
            </w:r>
          </w:p>
          <w:p w14:paraId="3A304F7B" w14:textId="12060126" w:rsidR="00C20614" w:rsidRPr="00470F3A" w:rsidRDefault="00C20614" w:rsidP="001E2E5E">
            <w:pPr>
              <w:spacing w:after="120" w:line="276" w:lineRule="auto"/>
              <w:rPr>
                <w:szCs w:val="22"/>
              </w:rPr>
            </w:pPr>
            <w:r>
              <w:rPr>
                <w:szCs w:val="22"/>
              </w:rPr>
              <w:t>We monitor p</w:t>
            </w:r>
            <w:r w:rsidRPr="00470F3A">
              <w:rPr>
                <w:szCs w:val="22"/>
              </w:rPr>
              <w:t>rogress</w:t>
            </w:r>
            <w:r>
              <w:rPr>
                <w:szCs w:val="22"/>
              </w:rPr>
              <w:t xml:space="preserve"> against targets on </w:t>
            </w:r>
            <w:r w:rsidRPr="00470F3A">
              <w:rPr>
                <w:szCs w:val="22"/>
              </w:rPr>
              <w:t>an annual basis through the investment review process</w:t>
            </w:r>
            <w:r w:rsidR="0082058D">
              <w:rPr>
                <w:szCs w:val="22"/>
              </w:rPr>
              <w:t xml:space="preserve">. We </w:t>
            </w:r>
            <w:r>
              <w:rPr>
                <w:szCs w:val="22"/>
              </w:rPr>
              <w:t>conduct an</w:t>
            </w:r>
            <w:r w:rsidRPr="00470F3A">
              <w:rPr>
                <w:szCs w:val="22"/>
              </w:rPr>
              <w:t xml:space="preserve"> in</w:t>
            </w:r>
            <w:r>
              <w:rPr>
                <w:szCs w:val="22"/>
              </w:rPr>
              <w:t>-</w:t>
            </w:r>
            <w:r w:rsidRPr="00470F3A">
              <w:rPr>
                <w:szCs w:val="22"/>
              </w:rPr>
              <w:t xml:space="preserve">depth review of the plan, </w:t>
            </w:r>
            <w:proofErr w:type="gramStart"/>
            <w:r w:rsidRPr="00470F3A">
              <w:rPr>
                <w:szCs w:val="22"/>
              </w:rPr>
              <w:t>targets</w:t>
            </w:r>
            <w:proofErr w:type="gramEnd"/>
            <w:r w:rsidRPr="00470F3A">
              <w:rPr>
                <w:szCs w:val="22"/>
              </w:rPr>
              <w:t xml:space="preserve"> and outcomes every four years. If required,</w:t>
            </w:r>
            <w:r>
              <w:rPr>
                <w:szCs w:val="22"/>
              </w:rPr>
              <w:t xml:space="preserve"> we carry out </w:t>
            </w:r>
            <w:r w:rsidRPr="00470F3A">
              <w:rPr>
                <w:szCs w:val="22"/>
              </w:rPr>
              <w:t>a mid</w:t>
            </w:r>
            <w:r>
              <w:rPr>
                <w:szCs w:val="22"/>
              </w:rPr>
              <w:t>-</w:t>
            </w:r>
            <w:r w:rsidRPr="00470F3A">
              <w:rPr>
                <w:szCs w:val="22"/>
              </w:rPr>
              <w:t xml:space="preserve">point review during the </w:t>
            </w:r>
            <w:r w:rsidR="001D28A3" w:rsidRPr="00470F3A">
              <w:rPr>
                <w:szCs w:val="22"/>
              </w:rPr>
              <w:t>four</w:t>
            </w:r>
            <w:r w:rsidR="001D28A3" w:rsidRPr="001E2E5E">
              <w:rPr>
                <w:szCs w:val="24"/>
              </w:rPr>
              <w:t>-</w:t>
            </w:r>
            <w:r w:rsidR="001D28A3" w:rsidRPr="00470F3A">
              <w:rPr>
                <w:szCs w:val="22"/>
              </w:rPr>
              <w:t>year</w:t>
            </w:r>
            <w:r w:rsidRPr="00470F3A">
              <w:rPr>
                <w:szCs w:val="22"/>
              </w:rPr>
              <w:t xml:space="preserve"> cycle. </w:t>
            </w:r>
          </w:p>
          <w:p w14:paraId="6A65EABD" w14:textId="08F62E4D" w:rsidR="00C20614" w:rsidRDefault="00C20614" w:rsidP="001E2E5E">
            <w:pPr>
              <w:spacing w:after="120" w:line="276" w:lineRule="auto"/>
              <w:rPr>
                <w:szCs w:val="22"/>
              </w:rPr>
            </w:pPr>
            <w:r w:rsidRPr="00470F3A">
              <w:rPr>
                <w:szCs w:val="22"/>
              </w:rPr>
              <w:t xml:space="preserve">SGBs must evidence a previous track record in meeting targets as well as demonstrating the potential and capability to deliver against future outcomes. </w:t>
            </w:r>
            <w:r>
              <w:rPr>
                <w:szCs w:val="22"/>
              </w:rPr>
              <w:t xml:space="preserve">We also ask </w:t>
            </w:r>
            <w:r w:rsidRPr="00470F3A">
              <w:rPr>
                <w:szCs w:val="22"/>
              </w:rPr>
              <w:t>SGBs</w:t>
            </w:r>
            <w:r>
              <w:rPr>
                <w:szCs w:val="22"/>
              </w:rPr>
              <w:t xml:space="preserve"> to </w:t>
            </w:r>
            <w:r w:rsidRPr="00470F3A">
              <w:rPr>
                <w:szCs w:val="22"/>
              </w:rPr>
              <w:t>collect and provide robust data and evidence of progress against agreed outcomes and targets</w:t>
            </w:r>
            <w:r>
              <w:rPr>
                <w:szCs w:val="22"/>
              </w:rPr>
              <w:t>.</w:t>
            </w:r>
          </w:p>
          <w:p w14:paraId="24538F57" w14:textId="2B9C03D2" w:rsidR="00C20614" w:rsidRPr="00214C82" w:rsidRDefault="00DF4BE6" w:rsidP="00214C82">
            <w:pPr>
              <w:spacing w:after="120" w:line="276" w:lineRule="auto"/>
              <w:rPr>
                <w:rFonts w:cs="Arial"/>
                <w:color w:val="FF0000"/>
              </w:rPr>
            </w:pPr>
            <w:r w:rsidRPr="00DF4BE6">
              <w:rPr>
                <w:szCs w:val="24"/>
                <w:lang w:eastAsia="en-GB"/>
              </w:rPr>
              <w:t xml:space="preserve">Investing in smaller SGBs is a key component in the recognition and commitment towards the development of sport in Scotland. </w:t>
            </w:r>
            <w:r w:rsidR="00250E8F">
              <w:rPr>
                <w:szCs w:val="24"/>
                <w:lang w:eastAsia="en-GB"/>
              </w:rPr>
              <w:t xml:space="preserve">The process </w:t>
            </w:r>
            <w:r w:rsidR="00281057">
              <w:rPr>
                <w:szCs w:val="24"/>
                <w:lang w:eastAsia="en-GB"/>
              </w:rPr>
              <w:t>o</w:t>
            </w:r>
            <w:r w:rsidR="00EC2DD3">
              <w:rPr>
                <w:szCs w:val="24"/>
                <w:lang w:eastAsia="en-GB"/>
              </w:rPr>
              <w:t xml:space="preserve">f investment into </w:t>
            </w:r>
            <w:r w:rsidR="00445635">
              <w:rPr>
                <w:lang w:eastAsia="en-GB"/>
              </w:rPr>
              <w:t>S</w:t>
            </w:r>
            <w:r w:rsidR="00EC2DD3">
              <w:rPr>
                <w:lang w:eastAsia="en-GB"/>
              </w:rPr>
              <w:t>GBs</w:t>
            </w:r>
            <w:r w:rsidR="00445635">
              <w:rPr>
                <w:lang w:eastAsia="en-GB"/>
              </w:rPr>
              <w:t xml:space="preserve"> where investment is less than £20</w:t>
            </w:r>
            <w:r w:rsidR="00634B3E">
              <w:rPr>
                <w:lang w:eastAsia="en-GB"/>
              </w:rPr>
              <w:t>,</w:t>
            </w:r>
            <w:r w:rsidR="00445635">
              <w:rPr>
                <w:lang w:eastAsia="en-GB"/>
              </w:rPr>
              <w:t>000 will be</w:t>
            </w:r>
            <w:r w:rsidR="00EC2DD3">
              <w:rPr>
                <w:lang w:eastAsia="en-GB"/>
              </w:rPr>
              <w:t xml:space="preserve"> simpler and less </w:t>
            </w:r>
            <w:r w:rsidR="00281057">
              <w:rPr>
                <w:lang w:eastAsia="en-GB"/>
              </w:rPr>
              <w:t>onerous</w:t>
            </w:r>
            <w:r w:rsidR="00EC2DD3">
              <w:rPr>
                <w:lang w:eastAsia="en-GB"/>
              </w:rPr>
              <w:t xml:space="preserve"> on volunteer time</w:t>
            </w:r>
            <w:r w:rsidR="00214C82">
              <w:rPr>
                <w:lang w:eastAsia="en-GB"/>
              </w:rPr>
              <w:t xml:space="preserve">. </w:t>
            </w:r>
            <w:r w:rsidR="00214C82">
              <w:rPr>
                <w:lang w:eastAsia="en-GB"/>
              </w:rPr>
              <w:lastRenderedPageBreak/>
              <w:t xml:space="preserve">The </w:t>
            </w:r>
            <w:r w:rsidR="00F23A53">
              <w:rPr>
                <w:lang w:eastAsia="en-GB"/>
              </w:rPr>
              <w:t>SGB will complete an annual return on-line through the Portal and provide basic information on their organisation</w:t>
            </w:r>
            <w:r w:rsidR="004D2F2E">
              <w:rPr>
                <w:lang w:eastAsia="en-GB"/>
              </w:rPr>
              <w:t xml:space="preserve"> along with narrative outlining why they require investment</w:t>
            </w:r>
            <w:r w:rsidR="0082058D">
              <w:rPr>
                <w:lang w:eastAsia="en-GB"/>
              </w:rPr>
              <w:t>. T</w:t>
            </w:r>
            <w:r w:rsidR="00BB7A04">
              <w:rPr>
                <w:lang w:eastAsia="en-GB"/>
              </w:rPr>
              <w:t xml:space="preserve">his will be aligned and measured against </w:t>
            </w:r>
            <w:r w:rsidR="00634B3E">
              <w:rPr>
                <w:lang w:eastAsia="en-GB"/>
              </w:rPr>
              <w:t>outcomes</w:t>
            </w:r>
            <w:r w:rsidR="00BB7A04">
              <w:rPr>
                <w:lang w:eastAsia="en-GB"/>
              </w:rPr>
              <w:t>.</w:t>
            </w:r>
          </w:p>
          <w:p w14:paraId="4D50A42B" w14:textId="77777777" w:rsidR="00EC68FE" w:rsidRPr="00EC68FE" w:rsidRDefault="00EC68FE" w:rsidP="001E2E5E">
            <w:pPr>
              <w:spacing w:after="240" w:line="276" w:lineRule="auto"/>
              <w:rPr>
                <w:b/>
              </w:rPr>
            </w:pPr>
            <w:r w:rsidRPr="00EC68FE">
              <w:rPr>
                <w:b/>
              </w:rPr>
              <w:t>Purpose</w:t>
            </w:r>
          </w:p>
          <w:p w14:paraId="56A9429A" w14:textId="269BBF22" w:rsidR="00383E7C" w:rsidRPr="001E2E5E" w:rsidRDefault="001E2E5E" w:rsidP="001E2E5E">
            <w:pPr>
              <w:spacing w:after="240" w:line="276" w:lineRule="auto"/>
              <w:rPr>
                <w:szCs w:val="24"/>
                <w:lang w:eastAsia="en-GB"/>
              </w:rPr>
            </w:pPr>
            <w:r w:rsidRPr="001E2E5E">
              <w:rPr>
                <w:szCs w:val="24"/>
                <w:lang w:eastAsia="en-GB"/>
              </w:rPr>
              <w:t>Many smaller sports are run on a voluntary basis, with few full-time members of staff</w:t>
            </w:r>
            <w:r w:rsidRPr="00DF4BE6">
              <w:rPr>
                <w:szCs w:val="24"/>
                <w:lang w:eastAsia="en-GB"/>
              </w:rPr>
              <w:t xml:space="preserve">. </w:t>
            </w:r>
            <w:r w:rsidR="00DF4BE6" w:rsidRPr="00DF4BE6">
              <w:rPr>
                <w:szCs w:val="24"/>
                <w:lang w:eastAsia="en-GB"/>
              </w:rPr>
              <w:t>T</w:t>
            </w:r>
            <w:r w:rsidRPr="00DF4BE6">
              <w:rPr>
                <w:szCs w:val="24"/>
                <w:lang w:eastAsia="en-GB"/>
              </w:rPr>
              <w:t xml:space="preserve">he demands </w:t>
            </w:r>
            <w:r w:rsidRPr="001E2E5E">
              <w:rPr>
                <w:szCs w:val="24"/>
                <w:lang w:eastAsia="en-GB"/>
              </w:rPr>
              <w:t>in terms of compliance and reporting remain significant for these sports</w:t>
            </w:r>
            <w:r w:rsidR="00FF2393">
              <w:rPr>
                <w:szCs w:val="24"/>
                <w:lang w:eastAsia="en-GB"/>
              </w:rPr>
              <w:t>. This can be burdensome and disproportionate</w:t>
            </w:r>
            <w:r w:rsidR="00DF4BE6">
              <w:rPr>
                <w:szCs w:val="24"/>
                <w:lang w:eastAsia="en-GB"/>
              </w:rPr>
              <w:t>, d</w:t>
            </w:r>
            <w:r w:rsidR="00DF4BE6" w:rsidRPr="001E2E5E">
              <w:rPr>
                <w:szCs w:val="24"/>
                <w:lang w:eastAsia="en-GB"/>
              </w:rPr>
              <w:t>espite the comparatively small levels of investment</w:t>
            </w:r>
            <w:r w:rsidR="00DF4BE6">
              <w:rPr>
                <w:szCs w:val="24"/>
                <w:lang w:eastAsia="en-GB"/>
              </w:rPr>
              <w:t xml:space="preserve"> when compared to other larger sports.</w:t>
            </w:r>
            <w:r w:rsidR="00383E7C">
              <w:rPr>
                <w:szCs w:val="24"/>
                <w:lang w:eastAsia="en-GB"/>
              </w:rPr>
              <w:t xml:space="preserve"> </w:t>
            </w:r>
            <w:proofErr w:type="gramStart"/>
            <w:r w:rsidR="00383E7C" w:rsidRPr="00DF4BE6">
              <w:rPr>
                <w:szCs w:val="24"/>
                <w:lang w:eastAsia="en-GB"/>
              </w:rPr>
              <w:t>In order to</w:t>
            </w:r>
            <w:proofErr w:type="gramEnd"/>
            <w:r w:rsidR="00383E7C" w:rsidRPr="00DF4BE6">
              <w:rPr>
                <w:szCs w:val="24"/>
                <w:lang w:eastAsia="en-GB"/>
              </w:rPr>
              <w:t xml:space="preserve"> support these SGBs, </w:t>
            </w:r>
            <w:r w:rsidR="00383E7C" w:rsidRPr="00DF4BE6">
              <w:rPr>
                <w:b/>
                <w:bCs/>
                <w:szCs w:val="24"/>
                <w:lang w:eastAsia="en-GB"/>
              </w:rPr>
              <w:t>sport</w:t>
            </w:r>
            <w:r w:rsidR="00383E7C" w:rsidRPr="00DF4BE6">
              <w:rPr>
                <w:szCs w:val="24"/>
                <w:lang w:eastAsia="en-GB"/>
              </w:rPr>
              <w:t>scotland currently allocate partnership manager time and expertise. Often the support time and capacity required providing this support is disproportional to the benefits contributed to the Active Scotland outcomes.</w:t>
            </w:r>
          </w:p>
          <w:p w14:paraId="1D5B3D7F" w14:textId="67776B53" w:rsidR="00EC68FE" w:rsidRPr="001E2E5E" w:rsidRDefault="001E2E5E" w:rsidP="001E2E5E">
            <w:pPr>
              <w:spacing w:line="276" w:lineRule="auto"/>
              <w:rPr>
                <w:szCs w:val="24"/>
                <w:lang w:eastAsia="en-GB"/>
              </w:rPr>
            </w:pPr>
            <w:r>
              <w:rPr>
                <w:szCs w:val="24"/>
                <w:lang w:eastAsia="en-GB"/>
              </w:rPr>
              <w:t>T</w:t>
            </w:r>
            <w:r w:rsidR="007759E0" w:rsidRPr="001E2E5E">
              <w:rPr>
                <w:szCs w:val="24"/>
                <w:lang w:eastAsia="en-GB"/>
              </w:rPr>
              <w:t xml:space="preserve">he purpose of this </w:t>
            </w:r>
            <w:r w:rsidR="00EC68FE" w:rsidRPr="001E2E5E">
              <w:rPr>
                <w:szCs w:val="24"/>
                <w:lang w:eastAsia="en-GB"/>
              </w:rPr>
              <w:t>policy</w:t>
            </w:r>
            <w:r w:rsidR="007759E0" w:rsidRPr="001E2E5E">
              <w:rPr>
                <w:szCs w:val="24"/>
                <w:lang w:eastAsia="en-GB"/>
              </w:rPr>
              <w:t xml:space="preserve"> is </w:t>
            </w:r>
            <w:r>
              <w:rPr>
                <w:szCs w:val="24"/>
                <w:lang w:eastAsia="en-GB"/>
              </w:rPr>
              <w:t xml:space="preserve">therefore </w:t>
            </w:r>
            <w:r w:rsidR="007759E0" w:rsidRPr="001E2E5E">
              <w:rPr>
                <w:szCs w:val="24"/>
                <w:lang w:eastAsia="en-GB"/>
              </w:rPr>
              <w:t xml:space="preserve">to </w:t>
            </w:r>
            <w:r w:rsidR="00EC68FE" w:rsidRPr="001E2E5E">
              <w:rPr>
                <w:szCs w:val="24"/>
                <w:lang w:eastAsia="en-GB"/>
              </w:rPr>
              <w:t>implement</w:t>
            </w:r>
            <w:r w:rsidR="007759E0" w:rsidRPr="001E2E5E">
              <w:rPr>
                <w:szCs w:val="24"/>
                <w:lang w:eastAsia="en-GB"/>
              </w:rPr>
              <w:t xml:space="preserve"> a new way of managing both the financial investment and </w:t>
            </w:r>
            <w:r w:rsidRPr="001E2E5E">
              <w:rPr>
                <w:szCs w:val="24"/>
                <w:lang w:eastAsia="en-GB"/>
              </w:rPr>
              <w:t xml:space="preserve">associated </w:t>
            </w:r>
            <w:r w:rsidR="007759E0" w:rsidRPr="001E2E5E">
              <w:rPr>
                <w:szCs w:val="24"/>
                <w:lang w:eastAsia="en-GB"/>
              </w:rPr>
              <w:t xml:space="preserve">staff </w:t>
            </w:r>
            <w:r w:rsidR="00DF4BE6">
              <w:rPr>
                <w:szCs w:val="24"/>
                <w:lang w:eastAsia="en-GB"/>
              </w:rPr>
              <w:t xml:space="preserve">support </w:t>
            </w:r>
            <w:r w:rsidR="007759E0" w:rsidRPr="001E2E5E">
              <w:rPr>
                <w:szCs w:val="24"/>
                <w:lang w:eastAsia="en-GB"/>
              </w:rPr>
              <w:t xml:space="preserve">time </w:t>
            </w:r>
            <w:r w:rsidR="00DF4BE6">
              <w:rPr>
                <w:szCs w:val="24"/>
                <w:lang w:eastAsia="en-GB"/>
              </w:rPr>
              <w:t>for</w:t>
            </w:r>
            <w:r w:rsidR="007759E0" w:rsidRPr="001E2E5E">
              <w:rPr>
                <w:szCs w:val="24"/>
                <w:lang w:eastAsia="en-GB"/>
              </w:rPr>
              <w:t xml:space="preserve"> </w:t>
            </w:r>
            <w:r w:rsidRPr="001E2E5E">
              <w:rPr>
                <w:szCs w:val="24"/>
                <w:lang w:eastAsia="en-GB"/>
              </w:rPr>
              <w:t xml:space="preserve">smaller </w:t>
            </w:r>
            <w:r w:rsidR="007759E0" w:rsidRPr="001E2E5E">
              <w:rPr>
                <w:szCs w:val="24"/>
                <w:lang w:eastAsia="en-GB"/>
              </w:rPr>
              <w:t>SGBs who receive less than £20K annual investment.</w:t>
            </w:r>
            <w:r w:rsidR="00EC68FE" w:rsidRPr="001E2E5E">
              <w:rPr>
                <w:szCs w:val="24"/>
                <w:lang w:eastAsia="en-GB"/>
              </w:rPr>
              <w:t xml:space="preserve"> It is anticipated this will</w:t>
            </w:r>
            <w:r w:rsidRPr="001E2E5E">
              <w:rPr>
                <w:szCs w:val="24"/>
                <w:lang w:eastAsia="en-GB"/>
              </w:rPr>
              <w:t>:</w:t>
            </w:r>
          </w:p>
          <w:p w14:paraId="558772D4" w14:textId="7420D497" w:rsidR="00EC68FE" w:rsidRPr="001E2E5E" w:rsidRDefault="00EC68FE" w:rsidP="00383E7C">
            <w:pPr>
              <w:pStyle w:val="ListParagraph"/>
              <w:numPr>
                <w:ilvl w:val="0"/>
                <w:numId w:val="29"/>
              </w:numPr>
              <w:spacing w:before="240" w:after="120" w:line="276" w:lineRule="auto"/>
              <w:ind w:left="714" w:hanging="357"/>
              <w:contextualSpacing w:val="0"/>
              <w:rPr>
                <w:szCs w:val="24"/>
                <w:lang w:eastAsia="en-GB"/>
              </w:rPr>
            </w:pPr>
            <w:r w:rsidRPr="001E2E5E">
              <w:rPr>
                <w:szCs w:val="24"/>
                <w:lang w:eastAsia="en-GB"/>
              </w:rPr>
              <w:t>reduce the pressure and workload on these small organisations to meet the demands and reporting required through the full investment process</w:t>
            </w:r>
            <w:r w:rsidR="00330884" w:rsidRPr="001E2E5E">
              <w:rPr>
                <w:szCs w:val="24"/>
                <w:lang w:eastAsia="en-GB"/>
              </w:rPr>
              <w:t>.</w:t>
            </w:r>
          </w:p>
          <w:p w14:paraId="484D101F" w14:textId="77777777" w:rsidR="00EC68FE" w:rsidRPr="001E2E5E" w:rsidRDefault="00EC68FE" w:rsidP="001E2E5E">
            <w:pPr>
              <w:pStyle w:val="ListParagraph"/>
              <w:numPr>
                <w:ilvl w:val="0"/>
                <w:numId w:val="29"/>
              </w:numPr>
              <w:spacing w:after="240" w:line="276" w:lineRule="auto"/>
              <w:rPr>
                <w:szCs w:val="24"/>
                <w:lang w:eastAsia="en-GB"/>
              </w:rPr>
            </w:pPr>
            <w:r w:rsidRPr="001E2E5E">
              <w:rPr>
                <w:szCs w:val="24"/>
                <w:lang w:eastAsia="en-GB"/>
              </w:rPr>
              <w:t xml:space="preserve">reduce the time commitment required from the </w:t>
            </w:r>
            <w:r w:rsidRPr="001E2E5E">
              <w:rPr>
                <w:b/>
                <w:bCs/>
                <w:szCs w:val="24"/>
                <w:lang w:eastAsia="en-GB"/>
              </w:rPr>
              <w:t>sport</w:t>
            </w:r>
            <w:r w:rsidRPr="001E2E5E">
              <w:rPr>
                <w:szCs w:val="24"/>
                <w:lang w:eastAsia="en-GB"/>
              </w:rPr>
              <w:t xml:space="preserve">scotland partnership manager on supporting these small SGBs. </w:t>
            </w:r>
          </w:p>
          <w:p w14:paraId="174BC4C1" w14:textId="06C55E02" w:rsidR="001E2E5E" w:rsidRPr="00DF4BE6" w:rsidRDefault="001D28A3" w:rsidP="00DF4BE6">
            <w:pPr>
              <w:spacing w:after="240" w:line="276" w:lineRule="auto"/>
              <w:rPr>
                <w:szCs w:val="24"/>
                <w:lang w:eastAsia="en-GB"/>
              </w:rPr>
            </w:pPr>
            <w:r w:rsidRPr="00DF4BE6">
              <w:rPr>
                <w:szCs w:val="24"/>
                <w:lang w:eastAsia="en-GB"/>
              </w:rPr>
              <w:t xml:space="preserve">We acknowledge the need to continue to support all recognised SGBs and the benefits of good governance are important to these sports. </w:t>
            </w:r>
            <w:r w:rsidR="00383E7C">
              <w:rPr>
                <w:szCs w:val="24"/>
                <w:lang w:eastAsia="en-GB"/>
              </w:rPr>
              <w:t>We will continue to provide</w:t>
            </w:r>
            <w:r w:rsidRPr="00DF4BE6">
              <w:rPr>
                <w:szCs w:val="24"/>
                <w:lang w:eastAsia="en-GB"/>
              </w:rPr>
              <w:t xml:space="preserve"> a range of support </w:t>
            </w:r>
            <w:r w:rsidR="001E2E5E" w:rsidRPr="00DF4BE6">
              <w:rPr>
                <w:szCs w:val="24"/>
                <w:lang w:eastAsia="en-GB"/>
              </w:rPr>
              <w:t xml:space="preserve">and expertise </w:t>
            </w:r>
            <w:r w:rsidR="00383E7C">
              <w:rPr>
                <w:szCs w:val="24"/>
                <w:lang w:eastAsia="en-GB"/>
              </w:rPr>
              <w:t>to these sports through the</w:t>
            </w:r>
            <w:r w:rsidR="001E2E5E" w:rsidRPr="00DF4BE6">
              <w:rPr>
                <w:szCs w:val="24"/>
                <w:lang w:eastAsia="en-GB"/>
              </w:rPr>
              <w:t xml:space="preserve"> SGB Generic Support Services</w:t>
            </w:r>
            <w:r w:rsidR="00383E7C">
              <w:rPr>
                <w:szCs w:val="24"/>
                <w:lang w:eastAsia="en-GB"/>
              </w:rPr>
              <w:t xml:space="preserve">, </w:t>
            </w:r>
            <w:r w:rsidR="001E2E5E" w:rsidRPr="00DF4BE6">
              <w:rPr>
                <w:szCs w:val="24"/>
                <w:lang w:eastAsia="en-GB"/>
              </w:rPr>
              <w:t xml:space="preserve">subject to approval of the </w:t>
            </w:r>
            <w:r w:rsidR="001E2E5E" w:rsidRPr="00383E7C">
              <w:rPr>
                <w:b/>
                <w:bCs/>
                <w:szCs w:val="24"/>
                <w:lang w:eastAsia="en-GB"/>
              </w:rPr>
              <w:t>sport</w:t>
            </w:r>
            <w:r w:rsidR="001E2E5E" w:rsidRPr="00DF4BE6">
              <w:rPr>
                <w:szCs w:val="24"/>
                <w:lang w:eastAsia="en-GB"/>
              </w:rPr>
              <w:t>scotland small sports liaison manager. Th</w:t>
            </w:r>
            <w:r w:rsidR="00383E7C">
              <w:rPr>
                <w:szCs w:val="24"/>
                <w:lang w:eastAsia="en-GB"/>
              </w:rPr>
              <w:t>is</w:t>
            </w:r>
            <w:r w:rsidR="001E2E5E" w:rsidRPr="00DF4BE6">
              <w:rPr>
                <w:szCs w:val="24"/>
                <w:lang w:eastAsia="en-GB"/>
              </w:rPr>
              <w:t xml:space="preserve"> include</w:t>
            </w:r>
            <w:r w:rsidR="00383E7C">
              <w:rPr>
                <w:szCs w:val="24"/>
                <w:lang w:eastAsia="en-GB"/>
              </w:rPr>
              <w:t>s</w:t>
            </w:r>
            <w:r w:rsidR="001E2E5E" w:rsidRPr="00DF4BE6">
              <w:rPr>
                <w:szCs w:val="24"/>
                <w:lang w:eastAsia="en-GB"/>
              </w:rPr>
              <w:t>:</w:t>
            </w:r>
          </w:p>
          <w:p w14:paraId="1FC79A1A" w14:textId="77777777" w:rsidR="001E2E5E" w:rsidRPr="001E2E5E" w:rsidRDefault="001E2E5E" w:rsidP="001E2E5E">
            <w:pPr>
              <w:pStyle w:val="ListParagraph"/>
              <w:numPr>
                <w:ilvl w:val="0"/>
                <w:numId w:val="34"/>
              </w:numPr>
              <w:spacing w:after="240" w:line="276" w:lineRule="auto"/>
              <w:rPr>
                <w:szCs w:val="24"/>
                <w:lang w:eastAsia="en-GB"/>
              </w:rPr>
            </w:pPr>
            <w:r w:rsidRPr="001E2E5E">
              <w:rPr>
                <w:szCs w:val="24"/>
                <w:lang w:eastAsia="en-GB"/>
              </w:rPr>
              <w:t>Expert Resource: Finance, Legal, HR</w:t>
            </w:r>
          </w:p>
          <w:p w14:paraId="476FACDD" w14:textId="77777777" w:rsidR="001E2E5E" w:rsidRPr="001E2E5E" w:rsidRDefault="001E2E5E" w:rsidP="001E2E5E">
            <w:pPr>
              <w:pStyle w:val="ListParagraph"/>
              <w:numPr>
                <w:ilvl w:val="0"/>
                <w:numId w:val="34"/>
              </w:numPr>
              <w:spacing w:after="240" w:line="276" w:lineRule="auto"/>
              <w:rPr>
                <w:szCs w:val="24"/>
                <w:lang w:eastAsia="en-GB"/>
              </w:rPr>
            </w:pPr>
            <w:r w:rsidRPr="001E2E5E">
              <w:rPr>
                <w:szCs w:val="24"/>
                <w:lang w:eastAsia="en-GB"/>
              </w:rPr>
              <w:t>Child Wellbeing and Protection</w:t>
            </w:r>
          </w:p>
          <w:p w14:paraId="224776D3" w14:textId="77777777" w:rsidR="001E2E5E" w:rsidRPr="001E2E5E" w:rsidRDefault="001E2E5E" w:rsidP="001E2E5E">
            <w:pPr>
              <w:pStyle w:val="ListParagraph"/>
              <w:numPr>
                <w:ilvl w:val="0"/>
                <w:numId w:val="34"/>
              </w:numPr>
              <w:spacing w:after="240" w:line="276" w:lineRule="auto"/>
              <w:rPr>
                <w:szCs w:val="24"/>
                <w:lang w:eastAsia="en-GB"/>
              </w:rPr>
            </w:pPr>
            <w:r w:rsidRPr="001E2E5E">
              <w:rPr>
                <w:szCs w:val="24"/>
                <w:lang w:eastAsia="en-GB"/>
              </w:rPr>
              <w:t>Governance support Programme</w:t>
            </w:r>
          </w:p>
          <w:p w14:paraId="2AA63CA5" w14:textId="794AF110" w:rsidR="001E2E5E" w:rsidRPr="001E2E5E" w:rsidRDefault="003D1479" w:rsidP="001E2E5E">
            <w:pPr>
              <w:pStyle w:val="ListParagraph"/>
              <w:numPr>
                <w:ilvl w:val="0"/>
                <w:numId w:val="34"/>
              </w:numPr>
              <w:spacing w:after="240" w:line="276" w:lineRule="auto"/>
              <w:rPr>
                <w:szCs w:val="24"/>
                <w:lang w:eastAsia="en-GB"/>
              </w:rPr>
            </w:pPr>
            <w:r>
              <w:rPr>
                <w:szCs w:val="24"/>
                <w:lang w:eastAsia="en-GB"/>
              </w:rPr>
              <w:t xml:space="preserve">Moving to Inclusion </w:t>
            </w:r>
            <w:proofErr w:type="spellStart"/>
            <w:r>
              <w:rPr>
                <w:szCs w:val="24"/>
                <w:lang w:eastAsia="en-GB"/>
              </w:rPr>
              <w:t>self assessment</w:t>
            </w:r>
            <w:proofErr w:type="spellEnd"/>
            <w:r w:rsidR="0022730A">
              <w:rPr>
                <w:szCs w:val="24"/>
                <w:lang w:eastAsia="en-GB"/>
              </w:rPr>
              <w:t xml:space="preserve"> tool</w:t>
            </w:r>
          </w:p>
          <w:p w14:paraId="46713E10" w14:textId="77777777" w:rsidR="001E2E5E" w:rsidRPr="001E2E5E" w:rsidRDefault="001E2E5E" w:rsidP="001E2E5E">
            <w:pPr>
              <w:pStyle w:val="ListParagraph"/>
              <w:numPr>
                <w:ilvl w:val="0"/>
                <w:numId w:val="34"/>
              </w:numPr>
              <w:spacing w:after="240" w:line="276" w:lineRule="auto"/>
              <w:rPr>
                <w:szCs w:val="24"/>
                <w:lang w:eastAsia="en-GB"/>
              </w:rPr>
            </w:pPr>
            <w:r w:rsidRPr="001E2E5E">
              <w:rPr>
                <w:szCs w:val="24"/>
                <w:lang w:eastAsia="en-GB"/>
              </w:rPr>
              <w:t>Antidoping compliance</w:t>
            </w:r>
          </w:p>
          <w:p w14:paraId="0166C787" w14:textId="77777777" w:rsidR="001E2E5E" w:rsidRPr="001E2E5E" w:rsidRDefault="001E2E5E" w:rsidP="001E2E5E">
            <w:pPr>
              <w:pStyle w:val="ListParagraph"/>
              <w:numPr>
                <w:ilvl w:val="0"/>
                <w:numId w:val="34"/>
              </w:numPr>
              <w:spacing w:after="240" w:line="276" w:lineRule="auto"/>
              <w:rPr>
                <w:szCs w:val="24"/>
                <w:lang w:eastAsia="en-GB"/>
              </w:rPr>
            </w:pPr>
            <w:r w:rsidRPr="001E2E5E">
              <w:rPr>
                <w:szCs w:val="24"/>
                <w:lang w:eastAsia="en-GB"/>
              </w:rPr>
              <w:t>Learning and Development Programme</w:t>
            </w:r>
          </w:p>
          <w:p w14:paraId="4EEB5F43" w14:textId="0C371D30" w:rsidR="001E2E5E" w:rsidRPr="001E2E5E" w:rsidRDefault="001E2E5E" w:rsidP="001E2E5E">
            <w:pPr>
              <w:pStyle w:val="ListParagraph"/>
              <w:numPr>
                <w:ilvl w:val="0"/>
                <w:numId w:val="34"/>
              </w:numPr>
              <w:spacing w:after="240" w:line="276" w:lineRule="auto"/>
              <w:rPr>
                <w:szCs w:val="24"/>
                <w:lang w:eastAsia="en-GB"/>
              </w:rPr>
            </w:pPr>
            <w:r w:rsidRPr="001E2E5E">
              <w:rPr>
                <w:szCs w:val="24"/>
                <w:lang w:eastAsia="en-GB"/>
              </w:rPr>
              <w:t>Case Management Support Service</w:t>
            </w:r>
          </w:p>
          <w:p w14:paraId="04A2B013" w14:textId="3857C9A0" w:rsidR="00C20614" w:rsidRPr="001E2E5E" w:rsidRDefault="001E2E5E" w:rsidP="001E2E5E">
            <w:pPr>
              <w:spacing w:after="240" w:line="276" w:lineRule="auto"/>
              <w:rPr>
                <w:szCs w:val="24"/>
                <w:lang w:eastAsia="en-GB"/>
              </w:rPr>
            </w:pPr>
            <w:r w:rsidRPr="001E2E5E">
              <w:rPr>
                <w:szCs w:val="24"/>
                <w:lang w:eastAsia="en-GB"/>
              </w:rPr>
              <w:lastRenderedPageBreak/>
              <w:t>The extent to which these services will be provided will be assessed</w:t>
            </w:r>
            <w:r w:rsidR="0082058D">
              <w:rPr>
                <w:szCs w:val="24"/>
                <w:lang w:eastAsia="en-GB"/>
              </w:rPr>
              <w:t xml:space="preserve"> based</w:t>
            </w:r>
            <w:r w:rsidRPr="001E2E5E">
              <w:rPr>
                <w:szCs w:val="24"/>
                <w:lang w:eastAsia="en-GB"/>
              </w:rPr>
              <w:t xml:space="preserve"> on need, </w:t>
            </w:r>
            <w:proofErr w:type="gramStart"/>
            <w:r w:rsidRPr="001E2E5E">
              <w:rPr>
                <w:szCs w:val="24"/>
                <w:lang w:eastAsia="en-GB"/>
              </w:rPr>
              <w:t>risk</w:t>
            </w:r>
            <w:proofErr w:type="gramEnd"/>
            <w:r w:rsidRPr="001E2E5E">
              <w:rPr>
                <w:szCs w:val="24"/>
                <w:lang w:eastAsia="en-GB"/>
              </w:rPr>
              <w:t xml:space="preserve"> and resources available. This support will be a condition of the investment and linked to the priorities within the business case.</w:t>
            </w:r>
            <w:r>
              <w:rPr>
                <w:szCs w:val="24"/>
                <w:lang w:eastAsia="en-GB"/>
              </w:rPr>
              <w:t xml:space="preserve"> </w:t>
            </w:r>
            <w:r w:rsidR="00383E7C" w:rsidRPr="00383E7C">
              <w:rPr>
                <w:szCs w:val="24"/>
                <w:lang w:eastAsia="en-GB"/>
              </w:rPr>
              <w:t xml:space="preserve">We would </w:t>
            </w:r>
            <w:r w:rsidR="00383E7C">
              <w:rPr>
                <w:szCs w:val="24"/>
                <w:lang w:eastAsia="en-GB"/>
              </w:rPr>
              <w:t xml:space="preserve">also </w:t>
            </w:r>
            <w:r w:rsidR="00383E7C" w:rsidRPr="00383E7C">
              <w:rPr>
                <w:szCs w:val="24"/>
                <w:lang w:eastAsia="en-GB"/>
              </w:rPr>
              <w:t>expect</w:t>
            </w:r>
            <w:r w:rsidR="00383E7C">
              <w:rPr>
                <w:szCs w:val="24"/>
                <w:lang w:eastAsia="en-GB"/>
              </w:rPr>
              <w:t xml:space="preserve"> these</w:t>
            </w:r>
            <w:r w:rsidR="00383E7C" w:rsidRPr="00383E7C">
              <w:rPr>
                <w:szCs w:val="24"/>
                <w:lang w:eastAsia="en-GB"/>
              </w:rPr>
              <w:t xml:space="preserve"> SGBs to provide basic membership data, where capacity and resource allow.</w:t>
            </w:r>
            <w:r w:rsidR="00383E7C">
              <w:rPr>
                <w:szCs w:val="24"/>
                <w:lang w:eastAsia="en-GB"/>
              </w:rPr>
              <w:t xml:space="preserve"> </w:t>
            </w:r>
            <w:r w:rsidR="00383E7C" w:rsidRPr="00383E7C">
              <w:rPr>
                <w:szCs w:val="24"/>
                <w:lang w:eastAsia="en-GB"/>
              </w:rPr>
              <w:t xml:space="preserve">The SGBs within the process will not receive the services of a dedicated </w:t>
            </w:r>
            <w:r w:rsidR="00383E7C" w:rsidRPr="0082058D">
              <w:rPr>
                <w:b/>
                <w:bCs/>
                <w:szCs w:val="24"/>
                <w:lang w:eastAsia="en-GB"/>
              </w:rPr>
              <w:t>sport</w:t>
            </w:r>
            <w:r w:rsidR="00383E7C" w:rsidRPr="00383E7C">
              <w:rPr>
                <w:szCs w:val="24"/>
                <w:lang w:eastAsia="en-GB"/>
              </w:rPr>
              <w:t>scotland partnership manager.</w:t>
            </w:r>
          </w:p>
        </w:tc>
      </w:tr>
    </w:tbl>
    <w:p w14:paraId="3A73C424" w14:textId="4387C6A8" w:rsidR="00613CF8" w:rsidRPr="00613CF8" w:rsidRDefault="00613CF8" w:rsidP="00613CF8">
      <w:pPr>
        <w:spacing w:before="480" w:after="120" w:line="240" w:lineRule="atLeast"/>
        <w:outlineLvl w:val="0"/>
        <w:rPr>
          <w:b/>
          <w:sz w:val="32"/>
          <w:szCs w:val="28"/>
          <w:lang w:val="en-US"/>
        </w:rPr>
      </w:pPr>
      <w:r w:rsidRPr="00613CF8">
        <w:rPr>
          <w:b/>
          <w:sz w:val="32"/>
          <w:szCs w:val="28"/>
          <w:lang w:val="en-US"/>
        </w:rPr>
        <w:lastRenderedPageBreak/>
        <w:t xml:space="preserve">Section 2 – General impacts of the </w:t>
      </w:r>
      <w:r w:rsidR="002902CB">
        <w:rPr>
          <w:b/>
          <w:sz w:val="32"/>
          <w:szCs w:val="28"/>
          <w:lang w:val="en-US"/>
        </w:rPr>
        <w:t xml:space="preserve">project, </w:t>
      </w:r>
      <w:proofErr w:type="gramStart"/>
      <w:r w:rsidR="002902CB">
        <w:rPr>
          <w:b/>
          <w:sz w:val="32"/>
          <w:szCs w:val="28"/>
          <w:lang w:val="en-US"/>
        </w:rPr>
        <w:t>programme</w:t>
      </w:r>
      <w:proofErr w:type="gramEnd"/>
      <w:r w:rsidR="002902CB" w:rsidRPr="002902CB">
        <w:t xml:space="preserve"> </w:t>
      </w:r>
      <w:r w:rsidR="002902CB" w:rsidRPr="002902CB">
        <w:rPr>
          <w:b/>
          <w:sz w:val="32"/>
          <w:szCs w:val="28"/>
          <w:lang w:val="en-US"/>
        </w:rPr>
        <w:t>or service</w:t>
      </w:r>
    </w:p>
    <w:tbl>
      <w:tblPr>
        <w:tblStyle w:val="TableGrid1"/>
        <w:tblW w:w="14170" w:type="dxa"/>
        <w:tblLook w:val="04A0" w:firstRow="1" w:lastRow="0" w:firstColumn="1" w:lastColumn="0" w:noHBand="0" w:noVBand="1"/>
      </w:tblPr>
      <w:tblGrid>
        <w:gridCol w:w="14170"/>
      </w:tblGrid>
      <w:tr w:rsidR="00613CF8" w:rsidRPr="00613CF8" w14:paraId="5684352A" w14:textId="77777777" w:rsidTr="00FF623A">
        <w:trPr>
          <w:trHeight w:val="1417"/>
        </w:trPr>
        <w:tc>
          <w:tcPr>
            <w:tcW w:w="14170" w:type="dxa"/>
          </w:tcPr>
          <w:p w14:paraId="6D6981F2" w14:textId="77777777" w:rsidR="00330884" w:rsidRDefault="00330884" w:rsidP="00330884">
            <w:pPr>
              <w:spacing w:after="120" w:line="276" w:lineRule="auto"/>
              <w:rPr>
                <w:rFonts w:cs="Arial"/>
                <w:b/>
                <w:bCs/>
                <w:color w:val="000000"/>
                <w:szCs w:val="22"/>
              </w:rPr>
            </w:pPr>
            <w:r w:rsidRPr="00613CF8">
              <w:rPr>
                <w:rFonts w:cs="Arial"/>
                <w:b/>
                <w:bCs/>
                <w:color w:val="000000"/>
                <w:szCs w:val="22"/>
              </w:rPr>
              <w:t>Target audience</w:t>
            </w:r>
          </w:p>
          <w:p w14:paraId="1B8CC75F" w14:textId="4353068E" w:rsidR="00330884" w:rsidRPr="00CB75E6" w:rsidRDefault="00330884" w:rsidP="00330884">
            <w:pPr>
              <w:spacing w:after="120" w:line="276" w:lineRule="auto"/>
              <w:rPr>
                <w:rFonts w:cs="Arial"/>
                <w:color w:val="000000"/>
                <w:szCs w:val="22"/>
              </w:rPr>
            </w:pPr>
            <w:r w:rsidRPr="00CB75E6">
              <w:rPr>
                <w:rFonts w:cs="Arial"/>
                <w:color w:val="000000"/>
                <w:szCs w:val="22"/>
              </w:rPr>
              <w:t>As noted above, the primary aim of this policy is to reduce the pressure and workload on small SGBs to meet the demands and reporting required through the full investment process.</w:t>
            </w:r>
          </w:p>
          <w:p w14:paraId="03AB246B" w14:textId="473AAC86" w:rsidR="00330884" w:rsidRDefault="00330884" w:rsidP="00330884">
            <w:pPr>
              <w:spacing w:after="120" w:line="276" w:lineRule="auto"/>
              <w:rPr>
                <w:rFonts w:cs="Arial"/>
                <w:color w:val="000000"/>
                <w:szCs w:val="22"/>
              </w:rPr>
            </w:pPr>
            <w:r w:rsidRPr="00C20614">
              <w:rPr>
                <w:rFonts w:cs="Arial"/>
                <w:color w:val="000000"/>
                <w:szCs w:val="22"/>
              </w:rPr>
              <w:t>The initial impact of the policy is on SGBs</w:t>
            </w:r>
            <w:r>
              <w:rPr>
                <w:rFonts w:cs="Arial"/>
                <w:color w:val="000000"/>
                <w:szCs w:val="22"/>
              </w:rPr>
              <w:t>, specifically seven smaller SGBS receiving less than £20k annual investment</w:t>
            </w:r>
            <w:r w:rsidRPr="00C20614">
              <w:rPr>
                <w:rFonts w:cs="Arial"/>
                <w:color w:val="000000"/>
                <w:szCs w:val="22"/>
              </w:rPr>
              <w:t>. The work SGBs do benefits people participating in sport across Scotland at all levels. Participants are effectively the customers</w:t>
            </w:r>
            <w:r>
              <w:rPr>
                <w:rFonts w:cs="Arial"/>
                <w:color w:val="000000"/>
                <w:szCs w:val="22"/>
              </w:rPr>
              <w:t xml:space="preserve"> of SGBs</w:t>
            </w:r>
            <w:r w:rsidRPr="00C20614">
              <w:rPr>
                <w:rFonts w:cs="Arial"/>
                <w:color w:val="000000"/>
                <w:szCs w:val="22"/>
              </w:rPr>
              <w:t xml:space="preserve">. They can be governing body members, the </w:t>
            </w:r>
            <w:proofErr w:type="gramStart"/>
            <w:r w:rsidRPr="00C20614">
              <w:rPr>
                <w:rFonts w:cs="Arial"/>
                <w:color w:val="000000"/>
                <w:szCs w:val="22"/>
              </w:rPr>
              <w:t>workforce</w:t>
            </w:r>
            <w:proofErr w:type="gramEnd"/>
            <w:r w:rsidRPr="00C20614">
              <w:rPr>
                <w:rFonts w:cs="Arial"/>
                <w:color w:val="000000"/>
                <w:szCs w:val="22"/>
              </w:rPr>
              <w:t xml:space="preserve"> or wider participants in the sport.</w:t>
            </w:r>
            <w:r>
              <w:rPr>
                <w:rFonts w:cs="Arial"/>
                <w:color w:val="000000"/>
                <w:szCs w:val="22"/>
              </w:rPr>
              <w:t xml:space="preserve"> There will also be an impact on </w:t>
            </w:r>
            <w:r w:rsidR="0082058D" w:rsidRPr="0082058D">
              <w:rPr>
                <w:b/>
                <w:bCs/>
                <w:szCs w:val="24"/>
              </w:rPr>
              <w:t>sport</w:t>
            </w:r>
            <w:r w:rsidR="0082058D" w:rsidRPr="00383E7C">
              <w:rPr>
                <w:szCs w:val="24"/>
              </w:rPr>
              <w:t xml:space="preserve">scotland </w:t>
            </w:r>
            <w:r>
              <w:rPr>
                <w:rFonts w:cs="Arial"/>
                <w:color w:val="000000"/>
                <w:szCs w:val="22"/>
              </w:rPr>
              <w:t>staff, specifically SGB partnership managers and time efficiencies.</w:t>
            </w:r>
          </w:p>
          <w:p w14:paraId="4D8283FF" w14:textId="77777777" w:rsidR="00330884" w:rsidRDefault="00330884" w:rsidP="00330884">
            <w:pPr>
              <w:spacing w:after="120" w:line="288" w:lineRule="auto"/>
              <w:rPr>
                <w:rFonts w:cs="Arial"/>
                <w:color w:val="000000"/>
                <w:szCs w:val="22"/>
              </w:rPr>
            </w:pPr>
            <w:r w:rsidRPr="00C20614">
              <w:rPr>
                <w:rFonts w:cs="Arial"/>
                <w:color w:val="000000"/>
                <w:szCs w:val="22"/>
              </w:rPr>
              <w:t xml:space="preserve">The policy is not designed to have an intended impact on any </w:t>
            </w:r>
            <w:proofErr w:type="gramStart"/>
            <w:r w:rsidRPr="00C20614">
              <w:rPr>
                <w:rFonts w:cs="Arial"/>
                <w:color w:val="000000"/>
                <w:szCs w:val="22"/>
              </w:rPr>
              <w:t>particular group</w:t>
            </w:r>
            <w:proofErr w:type="gramEnd"/>
            <w:r w:rsidRPr="00C20614">
              <w:rPr>
                <w:rFonts w:cs="Arial"/>
                <w:color w:val="000000"/>
                <w:szCs w:val="22"/>
              </w:rPr>
              <w:t xml:space="preserve"> of people who share a protected characteristic.</w:t>
            </w:r>
          </w:p>
          <w:p w14:paraId="0D7B8404" w14:textId="031BF52A" w:rsidR="00330884" w:rsidRPr="00613CF8" w:rsidRDefault="00330884" w:rsidP="00383E7C">
            <w:pPr>
              <w:spacing w:after="120" w:line="288" w:lineRule="auto"/>
              <w:rPr>
                <w:rFonts w:cs="Arial"/>
                <w:color w:val="000000"/>
                <w:sz w:val="22"/>
                <w:szCs w:val="22"/>
                <w:lang w:val="en-US"/>
              </w:rPr>
            </w:pPr>
          </w:p>
        </w:tc>
      </w:tr>
    </w:tbl>
    <w:p w14:paraId="6426EB3A" w14:textId="65BBC1EC" w:rsidR="002902CB" w:rsidRPr="00445101" w:rsidRDefault="00613CF8" w:rsidP="00445101">
      <w:pPr>
        <w:spacing w:before="480" w:after="120" w:line="240" w:lineRule="atLeast"/>
        <w:outlineLvl w:val="0"/>
        <w:rPr>
          <w:b/>
          <w:sz w:val="32"/>
          <w:szCs w:val="28"/>
          <w:lang w:val="en-US"/>
        </w:rPr>
      </w:pPr>
      <w:r w:rsidRPr="00445101">
        <w:rPr>
          <w:b/>
          <w:sz w:val="32"/>
          <w:szCs w:val="28"/>
          <w:lang w:val="en-US"/>
        </w:rPr>
        <w:t>Section 3 – Evidenc</w:t>
      </w:r>
      <w:r w:rsidR="002902CB" w:rsidRPr="00445101">
        <w:rPr>
          <w:b/>
          <w:sz w:val="32"/>
          <w:szCs w:val="28"/>
          <w:lang w:val="en-US"/>
        </w:rPr>
        <w:t>e</w:t>
      </w:r>
    </w:p>
    <w:p w14:paraId="320612E5" w14:textId="776118FE" w:rsidR="00445101" w:rsidRPr="00F114B2" w:rsidRDefault="00FF623A" w:rsidP="00F114B2">
      <w:pPr>
        <w:spacing w:after="240" w:line="288" w:lineRule="auto"/>
        <w:jc w:val="both"/>
        <w:rPr>
          <w:sz w:val="22"/>
          <w:szCs w:val="22"/>
          <w:lang w:val="en-US"/>
        </w:rPr>
      </w:pPr>
      <w:r w:rsidRPr="00445101">
        <w:rPr>
          <w:sz w:val="22"/>
          <w:szCs w:val="22"/>
          <w:lang w:val="en-US"/>
        </w:rPr>
        <w:t xml:space="preserve">What do we know about each group in the context of this project, </w:t>
      </w:r>
      <w:proofErr w:type="gramStart"/>
      <w:r w:rsidRPr="00445101">
        <w:rPr>
          <w:sz w:val="22"/>
          <w:szCs w:val="22"/>
          <w:lang w:val="en-US"/>
        </w:rPr>
        <w:t>programme</w:t>
      </w:r>
      <w:proofErr w:type="gramEnd"/>
      <w:r w:rsidRPr="00445101">
        <w:rPr>
          <w:sz w:val="22"/>
          <w:szCs w:val="22"/>
          <w:lang w:val="en-US"/>
        </w:rPr>
        <w:t xml:space="preserve"> or service?</w:t>
      </w:r>
      <w:r w:rsidR="00F114B2">
        <w:rPr>
          <w:sz w:val="22"/>
          <w:szCs w:val="22"/>
          <w:lang w:val="en-US"/>
        </w:rPr>
        <w:t xml:space="preserve"> Please see appendix one for sources of evidence. </w:t>
      </w:r>
      <w:r w:rsidR="00445101">
        <w:t xml:space="preserve"> </w:t>
      </w:r>
    </w:p>
    <w:tbl>
      <w:tblPr>
        <w:tblStyle w:val="TableGrid1"/>
        <w:tblW w:w="14392" w:type="dxa"/>
        <w:tblLook w:val="04A0" w:firstRow="1" w:lastRow="0" w:firstColumn="1" w:lastColumn="0" w:noHBand="0" w:noVBand="1"/>
      </w:tblPr>
      <w:tblGrid>
        <w:gridCol w:w="3018"/>
        <w:gridCol w:w="11374"/>
      </w:tblGrid>
      <w:tr w:rsidR="002902CB" w:rsidRPr="00613CF8" w14:paraId="5A9B6FE4" w14:textId="77777777" w:rsidTr="00394263">
        <w:trPr>
          <w:trHeight w:val="680"/>
        </w:trPr>
        <w:tc>
          <w:tcPr>
            <w:tcW w:w="3018" w:type="dxa"/>
            <w:shd w:val="clear" w:color="auto" w:fill="002060"/>
            <w:vAlign w:val="center"/>
          </w:tcPr>
          <w:p w14:paraId="7369FC05" w14:textId="77777777" w:rsidR="002902CB" w:rsidRPr="00E96C98" w:rsidRDefault="002902CB"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 xml:space="preserve">Age: older people </w:t>
            </w:r>
            <w:r>
              <w:rPr>
                <w:rFonts w:cs="Arial"/>
                <w:b/>
                <w:bCs/>
                <w:color w:val="FFFFFF" w:themeColor="background1"/>
                <w:sz w:val="22"/>
                <w:szCs w:val="22"/>
                <w:lang w:val="en-US"/>
              </w:rPr>
              <w:t>/</w:t>
            </w:r>
            <w:r w:rsidRPr="00E96C98">
              <w:rPr>
                <w:rFonts w:cs="Arial"/>
                <w:b/>
                <w:bCs/>
                <w:color w:val="FFFFFF" w:themeColor="background1"/>
                <w:sz w:val="22"/>
                <w:szCs w:val="22"/>
                <w:lang w:val="en-US"/>
              </w:rPr>
              <w:t xml:space="preserve"> children </w:t>
            </w:r>
            <w:r>
              <w:rPr>
                <w:rFonts w:cs="Arial"/>
                <w:b/>
                <w:bCs/>
                <w:color w:val="FFFFFF" w:themeColor="background1"/>
                <w:sz w:val="22"/>
                <w:szCs w:val="22"/>
                <w:lang w:val="en-US"/>
              </w:rPr>
              <w:t>&amp;</w:t>
            </w:r>
            <w:r w:rsidRPr="00E96C98">
              <w:rPr>
                <w:rFonts w:cs="Arial"/>
                <w:b/>
                <w:bCs/>
                <w:color w:val="FFFFFF" w:themeColor="background1"/>
                <w:sz w:val="22"/>
                <w:szCs w:val="22"/>
                <w:lang w:val="en-US"/>
              </w:rPr>
              <w:t xml:space="preserve"> young people</w:t>
            </w:r>
          </w:p>
        </w:tc>
        <w:tc>
          <w:tcPr>
            <w:tcW w:w="11374" w:type="dxa"/>
            <w:vAlign w:val="center"/>
          </w:tcPr>
          <w:p w14:paraId="4D9BFCB3" w14:textId="5D15AE41" w:rsidR="002902CB" w:rsidRDefault="00CB75E6" w:rsidP="002902CB">
            <w:pPr>
              <w:spacing w:after="120" w:line="288" w:lineRule="auto"/>
              <w:rPr>
                <w:rFonts w:cs="Arial"/>
                <w:color w:val="000000"/>
                <w:sz w:val="22"/>
                <w:szCs w:val="22"/>
                <w:lang w:val="en-US"/>
              </w:rPr>
            </w:pPr>
            <w:r w:rsidRPr="00CB75E6">
              <w:rPr>
                <w:rFonts w:cs="Arial"/>
                <w:color w:val="000000"/>
                <w:sz w:val="22"/>
                <w:szCs w:val="22"/>
                <w:lang w:val="en-US"/>
              </w:rPr>
              <w:t xml:space="preserve">Data collected through the SGB Annual Return </w:t>
            </w:r>
            <w:r w:rsidR="0082058D" w:rsidRPr="00CB75E6">
              <w:rPr>
                <w:rFonts w:cs="Arial"/>
                <w:color w:val="000000"/>
                <w:sz w:val="22"/>
                <w:szCs w:val="22"/>
                <w:lang w:val="en-US"/>
              </w:rPr>
              <w:t>categorizes</w:t>
            </w:r>
            <w:r w:rsidRPr="00CB75E6">
              <w:rPr>
                <w:rFonts w:cs="Arial"/>
                <w:color w:val="000000"/>
                <w:sz w:val="22"/>
                <w:szCs w:val="22"/>
                <w:lang w:val="en-US"/>
              </w:rPr>
              <w:t xml:space="preserve"> members into ‘adult’ or ‘junior’, which is used here as a proxy for age. </w:t>
            </w:r>
            <w:r w:rsidRPr="00032969">
              <w:rPr>
                <w:rFonts w:cs="Arial"/>
                <w:color w:val="000000"/>
                <w:sz w:val="22"/>
                <w:szCs w:val="22"/>
                <w:lang w:val="en-US"/>
              </w:rPr>
              <w:t xml:space="preserve">Junior can refer to anyone below the ages of 16 to 21, </w:t>
            </w:r>
            <w:proofErr w:type="spellStart"/>
            <w:r w:rsidRPr="00032969">
              <w:rPr>
                <w:rFonts w:cs="Arial"/>
                <w:color w:val="000000"/>
                <w:sz w:val="22"/>
                <w:szCs w:val="22"/>
                <w:lang w:val="en-US"/>
              </w:rPr>
              <w:t>dependant</w:t>
            </w:r>
            <w:proofErr w:type="spellEnd"/>
            <w:r w:rsidRPr="00032969">
              <w:rPr>
                <w:rFonts w:cs="Arial"/>
                <w:color w:val="000000"/>
                <w:sz w:val="22"/>
                <w:szCs w:val="22"/>
                <w:lang w:val="en-US"/>
              </w:rPr>
              <w:t xml:space="preserve"> on the SGB.  </w:t>
            </w:r>
            <w:r w:rsidRPr="00CB75E6">
              <w:rPr>
                <w:rFonts w:cs="Arial"/>
                <w:color w:val="000000"/>
                <w:sz w:val="22"/>
                <w:szCs w:val="22"/>
                <w:lang w:val="en-US"/>
              </w:rPr>
              <w:t>This is roughly split</w:t>
            </w:r>
            <w:r>
              <w:rPr>
                <w:rFonts w:cs="Arial"/>
                <w:color w:val="000000"/>
                <w:sz w:val="22"/>
                <w:szCs w:val="22"/>
                <w:lang w:val="en-US"/>
              </w:rPr>
              <w:t>.</w:t>
            </w:r>
          </w:p>
          <w:p w14:paraId="6B63992B" w14:textId="77777777" w:rsidR="00383E7C" w:rsidRDefault="002C7612" w:rsidP="00383E7C">
            <w:pPr>
              <w:spacing w:after="120" w:line="288" w:lineRule="auto"/>
              <w:rPr>
                <w:rFonts w:cs="Arial"/>
                <w:color w:val="000000"/>
                <w:sz w:val="22"/>
                <w:szCs w:val="22"/>
                <w:lang w:val="en-US"/>
              </w:rPr>
            </w:pPr>
            <w:r>
              <w:rPr>
                <w:rFonts w:cs="Arial"/>
                <w:color w:val="000000"/>
                <w:sz w:val="22"/>
                <w:szCs w:val="22"/>
                <w:lang w:val="en-US"/>
              </w:rPr>
              <w:t xml:space="preserve">2022-23 </w:t>
            </w:r>
            <w:r w:rsidR="00CB75E6" w:rsidRPr="00CB75E6">
              <w:rPr>
                <w:rFonts w:cs="Arial"/>
                <w:color w:val="000000"/>
                <w:sz w:val="22"/>
                <w:szCs w:val="22"/>
                <w:lang w:val="en-US"/>
              </w:rPr>
              <w:t>SGB membership across the seven identified sports</w:t>
            </w:r>
            <w:r w:rsidR="00383E7C">
              <w:rPr>
                <w:rFonts w:cs="Arial"/>
                <w:color w:val="000000"/>
                <w:sz w:val="22"/>
                <w:szCs w:val="22"/>
                <w:lang w:val="en-US"/>
              </w:rPr>
              <w:t>:</w:t>
            </w:r>
          </w:p>
          <w:p w14:paraId="38E88346" w14:textId="05DC317F" w:rsidR="00383E7C" w:rsidRPr="00383E7C" w:rsidRDefault="00383E7C" w:rsidP="00383E7C">
            <w:pPr>
              <w:pStyle w:val="ListParagraph"/>
              <w:numPr>
                <w:ilvl w:val="0"/>
                <w:numId w:val="35"/>
              </w:numPr>
              <w:spacing w:after="120" w:line="288" w:lineRule="auto"/>
              <w:rPr>
                <w:rFonts w:cs="Arial"/>
                <w:color w:val="000000"/>
                <w:sz w:val="22"/>
                <w:szCs w:val="22"/>
                <w:lang w:val="en-US"/>
              </w:rPr>
            </w:pPr>
            <w:r w:rsidRPr="00383E7C">
              <w:rPr>
                <w:rFonts w:cs="Arial"/>
                <w:color w:val="000000"/>
                <w:sz w:val="22"/>
                <w:szCs w:val="22"/>
                <w:lang w:val="en-US"/>
              </w:rPr>
              <w:t>Total membership: 2,957</w:t>
            </w:r>
          </w:p>
          <w:p w14:paraId="46366A26" w14:textId="5C07736A" w:rsidR="00CB75E6" w:rsidRPr="0082058D" w:rsidRDefault="00CB75E6" w:rsidP="00100970">
            <w:pPr>
              <w:pStyle w:val="ListParagraph"/>
              <w:numPr>
                <w:ilvl w:val="0"/>
                <w:numId w:val="32"/>
              </w:numPr>
              <w:spacing w:after="120" w:line="288" w:lineRule="auto"/>
              <w:rPr>
                <w:rFonts w:cs="Arial"/>
                <w:color w:val="000000"/>
                <w:sz w:val="22"/>
                <w:szCs w:val="22"/>
                <w:lang w:val="en-US"/>
              </w:rPr>
            </w:pPr>
            <w:r w:rsidRPr="0082058D">
              <w:rPr>
                <w:rFonts w:cs="Arial"/>
                <w:color w:val="000000"/>
                <w:sz w:val="22"/>
                <w:szCs w:val="22"/>
                <w:lang w:val="en-US"/>
              </w:rPr>
              <w:t>Adult</w:t>
            </w:r>
            <w:r w:rsidR="00502354" w:rsidRPr="0082058D">
              <w:rPr>
                <w:rFonts w:cs="Arial"/>
                <w:color w:val="000000"/>
                <w:sz w:val="22"/>
                <w:szCs w:val="22"/>
                <w:lang w:val="en-US"/>
              </w:rPr>
              <w:t xml:space="preserve"> membership</w:t>
            </w:r>
            <w:r w:rsidRPr="0082058D">
              <w:rPr>
                <w:rFonts w:cs="Arial"/>
                <w:color w:val="000000"/>
                <w:sz w:val="22"/>
                <w:szCs w:val="22"/>
                <w:lang w:val="en-US"/>
              </w:rPr>
              <w:t xml:space="preserve">: </w:t>
            </w:r>
            <w:r w:rsidR="00383E7C" w:rsidRPr="0082058D">
              <w:rPr>
                <w:rFonts w:cs="Arial"/>
                <w:color w:val="000000"/>
                <w:sz w:val="22"/>
                <w:szCs w:val="22"/>
                <w:lang w:val="en-US"/>
              </w:rPr>
              <w:t>9</w:t>
            </w:r>
            <w:r w:rsidR="00502354" w:rsidRPr="0082058D">
              <w:rPr>
                <w:rFonts w:cs="Arial"/>
                <w:color w:val="000000"/>
                <w:sz w:val="22"/>
                <w:szCs w:val="22"/>
                <w:lang w:val="en-US"/>
              </w:rPr>
              <w:t>1</w:t>
            </w:r>
            <w:r w:rsidR="00383E7C" w:rsidRPr="0082058D">
              <w:rPr>
                <w:rFonts w:cs="Arial"/>
                <w:color w:val="000000"/>
                <w:sz w:val="22"/>
                <w:szCs w:val="22"/>
                <w:lang w:val="en-US"/>
              </w:rPr>
              <w:t xml:space="preserve">% or </w:t>
            </w:r>
            <w:r w:rsidRPr="0082058D">
              <w:rPr>
                <w:rFonts w:cs="Arial"/>
                <w:color w:val="000000"/>
                <w:sz w:val="22"/>
                <w:szCs w:val="22"/>
                <w:lang w:val="en-US"/>
              </w:rPr>
              <w:t>2,655</w:t>
            </w:r>
            <w:r w:rsidR="00383E7C" w:rsidRPr="0082058D">
              <w:rPr>
                <w:rFonts w:cs="Arial"/>
                <w:color w:val="000000"/>
                <w:sz w:val="22"/>
                <w:szCs w:val="22"/>
                <w:lang w:val="en-US"/>
              </w:rPr>
              <w:t xml:space="preserve">. </w:t>
            </w:r>
            <w:r w:rsidRPr="0082058D">
              <w:rPr>
                <w:rFonts w:cs="Arial"/>
                <w:color w:val="000000"/>
                <w:sz w:val="22"/>
                <w:szCs w:val="22"/>
                <w:lang w:val="en-US"/>
              </w:rPr>
              <w:t>(1,513 male / 1,142 female / 31 prefer not to say)</w:t>
            </w:r>
          </w:p>
          <w:p w14:paraId="59443BB5" w14:textId="5303972C" w:rsidR="00CB75E6" w:rsidRDefault="00CB75E6" w:rsidP="00CB75E6">
            <w:pPr>
              <w:pStyle w:val="ListParagraph"/>
              <w:numPr>
                <w:ilvl w:val="0"/>
                <w:numId w:val="32"/>
              </w:numPr>
              <w:spacing w:after="120" w:line="288" w:lineRule="auto"/>
              <w:rPr>
                <w:rFonts w:cs="Arial"/>
                <w:color w:val="000000"/>
                <w:sz w:val="22"/>
                <w:szCs w:val="22"/>
                <w:lang w:val="en-US"/>
              </w:rPr>
            </w:pPr>
            <w:r w:rsidRPr="00CB75E6">
              <w:rPr>
                <w:rFonts w:cs="Arial"/>
                <w:color w:val="000000"/>
                <w:sz w:val="22"/>
                <w:szCs w:val="22"/>
                <w:lang w:val="en-US"/>
              </w:rPr>
              <w:lastRenderedPageBreak/>
              <w:t>Junior</w:t>
            </w:r>
            <w:r w:rsidR="00502354">
              <w:rPr>
                <w:rFonts w:cs="Arial"/>
                <w:color w:val="000000"/>
                <w:sz w:val="22"/>
                <w:szCs w:val="22"/>
                <w:lang w:val="en-US"/>
              </w:rPr>
              <w:t xml:space="preserve"> membership</w:t>
            </w:r>
            <w:r w:rsidRPr="00CB75E6">
              <w:rPr>
                <w:rFonts w:cs="Arial"/>
                <w:color w:val="000000"/>
                <w:sz w:val="22"/>
                <w:szCs w:val="22"/>
                <w:lang w:val="en-US"/>
              </w:rPr>
              <w:t xml:space="preserve">: </w:t>
            </w:r>
            <w:r w:rsidR="00502354">
              <w:rPr>
                <w:rFonts w:cs="Arial"/>
                <w:color w:val="000000"/>
                <w:sz w:val="22"/>
                <w:szCs w:val="22"/>
                <w:lang w:val="en-US"/>
              </w:rPr>
              <w:t xml:space="preserve">9% or </w:t>
            </w:r>
            <w:r w:rsidRPr="00CB75E6">
              <w:rPr>
                <w:rFonts w:cs="Arial"/>
                <w:color w:val="000000"/>
                <w:sz w:val="22"/>
                <w:szCs w:val="22"/>
                <w:lang w:val="en-US"/>
              </w:rPr>
              <w:t>269 (90 male / 179 female / 2 PNTS)</w:t>
            </w:r>
          </w:p>
          <w:p w14:paraId="494990DC" w14:textId="0AB62E65" w:rsidR="007B2661" w:rsidRDefault="00610C1B" w:rsidP="00095055">
            <w:pPr>
              <w:spacing w:after="120" w:line="288" w:lineRule="auto"/>
              <w:rPr>
                <w:rFonts w:cs="Arial"/>
                <w:color w:val="000000"/>
                <w:sz w:val="22"/>
                <w:szCs w:val="22"/>
                <w:lang w:val="en-US"/>
              </w:rPr>
            </w:pPr>
            <w:r>
              <w:rPr>
                <w:rFonts w:cs="Arial"/>
                <w:color w:val="000000"/>
                <w:sz w:val="22"/>
                <w:szCs w:val="22"/>
                <w:lang w:val="en-US"/>
              </w:rPr>
              <w:t xml:space="preserve">This is </w:t>
            </w:r>
            <w:r w:rsidRPr="00610C1B">
              <w:rPr>
                <w:rFonts w:cs="Arial"/>
                <w:color w:val="000000"/>
                <w:sz w:val="22"/>
                <w:szCs w:val="22"/>
                <w:lang w:val="en-US"/>
              </w:rPr>
              <w:t>compared to</w:t>
            </w:r>
            <w:r w:rsidR="00336CB9">
              <w:rPr>
                <w:rFonts w:cs="Arial"/>
                <w:color w:val="000000"/>
                <w:sz w:val="22"/>
                <w:szCs w:val="22"/>
                <w:lang w:val="en-US"/>
              </w:rPr>
              <w:t xml:space="preserve"> 799</w:t>
            </w:r>
            <w:r w:rsidR="0082058D">
              <w:rPr>
                <w:rFonts w:cs="Arial"/>
                <w:color w:val="000000"/>
                <w:sz w:val="22"/>
                <w:szCs w:val="22"/>
                <w:lang w:val="en-US"/>
              </w:rPr>
              <w:t>,</w:t>
            </w:r>
            <w:r w:rsidR="00336CB9">
              <w:rPr>
                <w:rFonts w:cs="Arial"/>
                <w:color w:val="000000"/>
                <w:sz w:val="22"/>
                <w:szCs w:val="22"/>
                <w:lang w:val="en-US"/>
              </w:rPr>
              <w:t>901</w:t>
            </w:r>
            <w:r w:rsidR="00CE5DA8">
              <w:rPr>
                <w:rFonts w:cs="Arial"/>
                <w:color w:val="000000"/>
                <w:sz w:val="22"/>
                <w:szCs w:val="22"/>
                <w:lang w:val="en-US"/>
              </w:rPr>
              <w:t xml:space="preserve"> total members</w:t>
            </w:r>
            <w:r w:rsidRPr="00610C1B">
              <w:rPr>
                <w:rFonts w:cs="Arial"/>
                <w:color w:val="000000"/>
                <w:sz w:val="22"/>
                <w:szCs w:val="22"/>
                <w:lang w:val="en-US"/>
              </w:rPr>
              <w:t xml:space="preserve"> across all SGBs</w:t>
            </w:r>
            <w:r w:rsidR="00CE5DA8">
              <w:rPr>
                <w:rFonts w:cs="Arial"/>
                <w:color w:val="000000"/>
                <w:sz w:val="22"/>
                <w:szCs w:val="22"/>
                <w:lang w:val="en-US"/>
              </w:rPr>
              <w:t xml:space="preserve">, split </w:t>
            </w:r>
            <w:r w:rsidR="00095055">
              <w:rPr>
                <w:rFonts w:cs="Arial"/>
                <w:color w:val="000000"/>
                <w:sz w:val="22"/>
                <w:szCs w:val="22"/>
                <w:lang w:val="en-US"/>
              </w:rPr>
              <w:t>67</w:t>
            </w:r>
            <w:r w:rsidR="00CE5DA8">
              <w:rPr>
                <w:rFonts w:cs="Arial"/>
                <w:color w:val="000000"/>
                <w:sz w:val="22"/>
                <w:szCs w:val="22"/>
                <w:lang w:val="en-US"/>
              </w:rPr>
              <w:t>% adult and</w:t>
            </w:r>
            <w:r w:rsidR="00095055">
              <w:rPr>
                <w:rFonts w:cs="Arial"/>
                <w:color w:val="000000"/>
                <w:sz w:val="22"/>
                <w:szCs w:val="22"/>
                <w:lang w:val="en-US"/>
              </w:rPr>
              <w:t xml:space="preserve"> 33</w:t>
            </w:r>
            <w:r w:rsidR="00CE5DA8">
              <w:rPr>
                <w:rFonts w:cs="Arial"/>
                <w:color w:val="000000"/>
                <w:sz w:val="22"/>
                <w:szCs w:val="22"/>
                <w:lang w:val="en-US"/>
              </w:rPr>
              <w:t>% junior</w:t>
            </w:r>
            <w:r w:rsidR="007B2661">
              <w:rPr>
                <w:rFonts w:cs="Arial"/>
                <w:color w:val="000000"/>
                <w:sz w:val="22"/>
                <w:szCs w:val="22"/>
                <w:lang w:val="en-US"/>
              </w:rPr>
              <w:t>.</w:t>
            </w:r>
            <w:r w:rsidR="00A67DAE">
              <w:rPr>
                <w:rFonts w:cs="Arial"/>
                <w:color w:val="000000"/>
                <w:sz w:val="22"/>
                <w:szCs w:val="22"/>
                <w:lang w:val="en-US"/>
              </w:rPr>
              <w:t xml:space="preserve"> (69% Male / 27% female / 5% PNTS)</w:t>
            </w:r>
            <w:r w:rsidR="0082058D">
              <w:rPr>
                <w:rFonts w:cs="Arial"/>
                <w:color w:val="000000"/>
                <w:sz w:val="22"/>
                <w:szCs w:val="22"/>
                <w:lang w:val="en-US"/>
              </w:rPr>
              <w:t xml:space="preserve">. </w:t>
            </w:r>
          </w:p>
          <w:p w14:paraId="43F64AAC" w14:textId="3EFB49C3" w:rsidR="00CB75E6" w:rsidRPr="00613CF8" w:rsidRDefault="002C7612" w:rsidP="00095055">
            <w:pPr>
              <w:spacing w:after="120" w:line="288" w:lineRule="auto"/>
              <w:rPr>
                <w:rFonts w:cs="Arial"/>
                <w:b/>
                <w:bCs/>
                <w:color w:val="000000"/>
                <w:sz w:val="22"/>
                <w:szCs w:val="22"/>
                <w:lang w:val="en-US"/>
              </w:rPr>
            </w:pPr>
            <w:r>
              <w:rPr>
                <w:rFonts w:cs="Arial"/>
                <w:color w:val="000000"/>
                <w:sz w:val="22"/>
                <w:szCs w:val="22"/>
                <w:lang w:val="en-US"/>
              </w:rPr>
              <w:t>We don’t hold SGB workforce equality data.</w:t>
            </w:r>
          </w:p>
        </w:tc>
      </w:tr>
      <w:tr w:rsidR="002902CB" w:rsidRPr="00613CF8" w14:paraId="3C1B8D57" w14:textId="77777777" w:rsidTr="00394263">
        <w:trPr>
          <w:trHeight w:val="680"/>
        </w:trPr>
        <w:tc>
          <w:tcPr>
            <w:tcW w:w="3018" w:type="dxa"/>
            <w:shd w:val="clear" w:color="auto" w:fill="002060"/>
            <w:vAlign w:val="center"/>
          </w:tcPr>
          <w:p w14:paraId="18205BA4" w14:textId="77777777" w:rsidR="002902CB" w:rsidRPr="00E96C98" w:rsidRDefault="002902CB"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lastRenderedPageBreak/>
              <w:t>Disability</w:t>
            </w:r>
          </w:p>
        </w:tc>
        <w:tc>
          <w:tcPr>
            <w:tcW w:w="11374" w:type="dxa"/>
            <w:vAlign w:val="center"/>
          </w:tcPr>
          <w:p w14:paraId="57B28702" w14:textId="7A026E51" w:rsidR="002C7612" w:rsidRDefault="002C7612" w:rsidP="002902CB">
            <w:pPr>
              <w:spacing w:after="120" w:line="288" w:lineRule="auto"/>
              <w:rPr>
                <w:rFonts w:cs="Arial"/>
                <w:color w:val="000000"/>
                <w:sz w:val="22"/>
                <w:szCs w:val="22"/>
                <w:lang w:val="en-US"/>
              </w:rPr>
            </w:pPr>
            <w:r>
              <w:rPr>
                <w:rFonts w:cs="Arial"/>
                <w:color w:val="000000"/>
                <w:sz w:val="22"/>
                <w:szCs w:val="22"/>
                <w:lang w:val="en-US"/>
              </w:rPr>
              <w:t xml:space="preserve">Data on disability was not captured via 2022-23 SGB </w:t>
            </w:r>
            <w:r w:rsidR="009202CE">
              <w:rPr>
                <w:rFonts w:cs="Arial"/>
                <w:color w:val="000000"/>
                <w:sz w:val="22"/>
                <w:szCs w:val="22"/>
                <w:lang w:val="en-US"/>
              </w:rPr>
              <w:t>Annual</w:t>
            </w:r>
            <w:r>
              <w:rPr>
                <w:rFonts w:cs="Arial"/>
                <w:color w:val="000000"/>
                <w:sz w:val="22"/>
                <w:szCs w:val="22"/>
                <w:lang w:val="en-US"/>
              </w:rPr>
              <w:t xml:space="preserve"> </w:t>
            </w:r>
            <w:r w:rsidR="009202CE">
              <w:rPr>
                <w:rFonts w:cs="Arial"/>
                <w:color w:val="000000"/>
                <w:sz w:val="22"/>
                <w:szCs w:val="22"/>
                <w:lang w:val="en-US"/>
              </w:rPr>
              <w:t xml:space="preserve">Return </w:t>
            </w:r>
            <w:r>
              <w:rPr>
                <w:rFonts w:cs="Arial"/>
                <w:color w:val="000000"/>
                <w:sz w:val="22"/>
                <w:szCs w:val="22"/>
                <w:lang w:val="en-US"/>
              </w:rPr>
              <w:t xml:space="preserve">for the seven identified sports. </w:t>
            </w:r>
          </w:p>
          <w:p w14:paraId="5455B064" w14:textId="26DCE977" w:rsidR="00502354" w:rsidRDefault="00502354" w:rsidP="002902CB">
            <w:pPr>
              <w:spacing w:after="120" w:line="288" w:lineRule="auto"/>
              <w:rPr>
                <w:rFonts w:cs="Arial"/>
                <w:color w:val="000000"/>
                <w:sz w:val="22"/>
                <w:szCs w:val="22"/>
                <w:lang w:val="en-US"/>
              </w:rPr>
            </w:pPr>
            <w:r>
              <w:rPr>
                <w:rFonts w:cs="Arial"/>
                <w:color w:val="000000"/>
                <w:sz w:val="22"/>
                <w:szCs w:val="22"/>
                <w:lang w:val="en-US"/>
              </w:rPr>
              <w:t>Three sports surveyed their members directly to better understand their equality profile</w:t>
            </w:r>
            <w:r w:rsidR="009202CE">
              <w:rPr>
                <w:rFonts w:cs="Arial"/>
                <w:color w:val="000000"/>
                <w:sz w:val="22"/>
                <w:szCs w:val="22"/>
                <w:lang w:val="en-US"/>
              </w:rPr>
              <w:t>:</w:t>
            </w:r>
          </w:p>
          <w:p w14:paraId="5916485E" w14:textId="10066C7D" w:rsidR="00502354" w:rsidRDefault="009202CE" w:rsidP="002902CB">
            <w:pPr>
              <w:pStyle w:val="ListParagraph"/>
              <w:numPr>
                <w:ilvl w:val="0"/>
                <w:numId w:val="36"/>
              </w:numPr>
              <w:spacing w:after="120" w:line="288" w:lineRule="auto"/>
              <w:rPr>
                <w:rFonts w:cs="Arial"/>
                <w:color w:val="000000"/>
                <w:sz w:val="22"/>
                <w:szCs w:val="22"/>
                <w:lang w:val="en-US"/>
              </w:rPr>
            </w:pPr>
            <w:r>
              <w:rPr>
                <w:rFonts w:cs="Arial"/>
                <w:color w:val="000000"/>
                <w:sz w:val="22"/>
                <w:szCs w:val="22"/>
                <w:lang w:val="en-US"/>
              </w:rPr>
              <w:t>4.3% of members identified as disabled. This ranges from 7.6% in Croquet to 2.3% in Sub Aqua.</w:t>
            </w:r>
          </w:p>
          <w:p w14:paraId="734F3867" w14:textId="77777777" w:rsidR="006B27CA" w:rsidRDefault="009202CE" w:rsidP="002902CB">
            <w:pPr>
              <w:pStyle w:val="ListParagraph"/>
              <w:numPr>
                <w:ilvl w:val="0"/>
                <w:numId w:val="36"/>
              </w:numPr>
              <w:spacing w:after="120" w:line="288" w:lineRule="auto"/>
              <w:rPr>
                <w:rFonts w:cs="Arial"/>
                <w:color w:val="000000"/>
                <w:sz w:val="22"/>
                <w:szCs w:val="22"/>
                <w:lang w:val="en-US"/>
              </w:rPr>
            </w:pPr>
            <w:r>
              <w:rPr>
                <w:rFonts w:cs="Arial"/>
                <w:color w:val="000000"/>
                <w:sz w:val="22"/>
                <w:szCs w:val="22"/>
                <w:lang w:val="en-US"/>
              </w:rPr>
              <w:t>4% of adults and 0.3% of juniors identified as disabled.</w:t>
            </w:r>
            <w:r w:rsidR="00472CAA" w:rsidRPr="004E57DE">
              <w:rPr>
                <w:rFonts w:cs="Arial"/>
                <w:color w:val="000000"/>
                <w:sz w:val="22"/>
                <w:szCs w:val="22"/>
                <w:lang w:val="en-US"/>
              </w:rPr>
              <w:t xml:space="preserve"> </w:t>
            </w:r>
          </w:p>
          <w:p w14:paraId="13C8E9A0" w14:textId="1B73006F" w:rsidR="002C7612" w:rsidRDefault="00472CAA" w:rsidP="006B27CA">
            <w:pPr>
              <w:spacing w:after="120" w:line="288" w:lineRule="auto"/>
              <w:rPr>
                <w:rFonts w:cs="Arial"/>
                <w:color w:val="000000"/>
                <w:sz w:val="22"/>
                <w:szCs w:val="22"/>
                <w:lang w:val="en-US"/>
              </w:rPr>
            </w:pPr>
            <w:r w:rsidRPr="006B27CA">
              <w:rPr>
                <w:rFonts w:cs="Arial"/>
                <w:color w:val="000000"/>
                <w:sz w:val="22"/>
                <w:szCs w:val="22"/>
                <w:lang w:val="en-US"/>
              </w:rPr>
              <w:t>Dat</w:t>
            </w:r>
            <w:r w:rsidR="001B4BFE" w:rsidRPr="006B27CA">
              <w:rPr>
                <w:rFonts w:cs="Arial"/>
                <w:color w:val="000000"/>
                <w:sz w:val="22"/>
                <w:szCs w:val="22"/>
                <w:lang w:val="en-US"/>
              </w:rPr>
              <w:t>a on disability was not captured across all SGBs in 2022-23</w:t>
            </w:r>
            <w:r w:rsidR="0082058D">
              <w:rPr>
                <w:rFonts w:cs="Arial"/>
                <w:color w:val="000000"/>
                <w:sz w:val="22"/>
                <w:szCs w:val="22"/>
                <w:lang w:val="en-US"/>
              </w:rPr>
              <w:t>.</w:t>
            </w:r>
          </w:p>
          <w:p w14:paraId="2C6865F1" w14:textId="1DB748DD" w:rsidR="0082058D" w:rsidRPr="006B27CA" w:rsidRDefault="0082058D" w:rsidP="006B27CA">
            <w:pPr>
              <w:spacing w:after="120" w:line="288" w:lineRule="auto"/>
              <w:rPr>
                <w:rFonts w:cs="Arial"/>
                <w:color w:val="000000"/>
                <w:sz w:val="22"/>
                <w:szCs w:val="22"/>
                <w:lang w:val="en-US"/>
              </w:rPr>
            </w:pPr>
            <w:r>
              <w:rPr>
                <w:rFonts w:cs="Arial"/>
                <w:color w:val="000000"/>
                <w:sz w:val="22"/>
                <w:szCs w:val="22"/>
                <w:lang w:val="en-US"/>
              </w:rPr>
              <w:t>We don’t hold SGB workforce equality data.</w:t>
            </w:r>
          </w:p>
        </w:tc>
      </w:tr>
      <w:tr w:rsidR="002902CB" w:rsidRPr="00613CF8" w14:paraId="72148C5A" w14:textId="77777777" w:rsidTr="00394263">
        <w:trPr>
          <w:trHeight w:val="680"/>
        </w:trPr>
        <w:tc>
          <w:tcPr>
            <w:tcW w:w="3018" w:type="dxa"/>
            <w:shd w:val="clear" w:color="auto" w:fill="002060"/>
            <w:vAlign w:val="center"/>
          </w:tcPr>
          <w:p w14:paraId="080A24B1" w14:textId="77777777" w:rsidR="002902CB" w:rsidRPr="00E96C98" w:rsidRDefault="002902CB"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Gender Reassignment</w:t>
            </w:r>
          </w:p>
        </w:tc>
        <w:tc>
          <w:tcPr>
            <w:tcW w:w="11374" w:type="dxa"/>
            <w:vAlign w:val="center"/>
          </w:tcPr>
          <w:p w14:paraId="058B21B6" w14:textId="22A26CE3" w:rsidR="002C7612" w:rsidRDefault="002C7612" w:rsidP="002902CB">
            <w:pPr>
              <w:spacing w:after="120" w:line="288" w:lineRule="auto"/>
              <w:rPr>
                <w:rFonts w:cs="Arial"/>
                <w:color w:val="000000"/>
                <w:sz w:val="22"/>
                <w:szCs w:val="22"/>
                <w:lang w:val="en-US"/>
              </w:rPr>
            </w:pPr>
            <w:r>
              <w:rPr>
                <w:rFonts w:cs="Arial"/>
                <w:color w:val="000000"/>
                <w:sz w:val="22"/>
                <w:szCs w:val="22"/>
                <w:lang w:val="en-US"/>
              </w:rPr>
              <w:t xml:space="preserve">Data on gender reassignment was not captured </w:t>
            </w:r>
            <w:r w:rsidR="009202CE">
              <w:rPr>
                <w:rFonts w:cs="Arial"/>
                <w:color w:val="000000"/>
                <w:sz w:val="22"/>
                <w:szCs w:val="22"/>
                <w:lang w:val="en-US"/>
              </w:rPr>
              <w:t xml:space="preserve">via 2022-23 SGB Annual Return </w:t>
            </w:r>
            <w:r>
              <w:rPr>
                <w:rFonts w:cs="Arial"/>
                <w:color w:val="000000"/>
                <w:sz w:val="22"/>
                <w:szCs w:val="22"/>
                <w:lang w:val="en-US"/>
              </w:rPr>
              <w:t>for the seven identified sports.</w:t>
            </w:r>
          </w:p>
          <w:p w14:paraId="082E44DD" w14:textId="4598F23F" w:rsidR="002C7612" w:rsidRPr="002C7612" w:rsidRDefault="002C7612" w:rsidP="002902CB">
            <w:pPr>
              <w:spacing w:after="120" w:line="288" w:lineRule="auto"/>
              <w:rPr>
                <w:rFonts w:cs="Arial"/>
                <w:color w:val="000000"/>
                <w:sz w:val="22"/>
                <w:szCs w:val="22"/>
                <w:lang w:val="en-US"/>
              </w:rPr>
            </w:pPr>
            <w:r>
              <w:rPr>
                <w:rFonts w:cs="Arial"/>
                <w:color w:val="000000"/>
                <w:sz w:val="22"/>
                <w:szCs w:val="22"/>
                <w:lang w:val="en-US"/>
              </w:rPr>
              <w:t>We don’t hold SGB workforce equality data.</w:t>
            </w:r>
          </w:p>
        </w:tc>
      </w:tr>
      <w:tr w:rsidR="002902CB" w:rsidRPr="00613CF8" w14:paraId="1F0E81FF" w14:textId="77777777" w:rsidTr="00394263">
        <w:trPr>
          <w:trHeight w:val="680"/>
        </w:trPr>
        <w:tc>
          <w:tcPr>
            <w:tcW w:w="3018" w:type="dxa"/>
            <w:shd w:val="clear" w:color="auto" w:fill="002060"/>
            <w:vAlign w:val="center"/>
          </w:tcPr>
          <w:p w14:paraId="19595022" w14:textId="77777777" w:rsidR="002902CB" w:rsidRPr="00E96C98" w:rsidRDefault="002902CB"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Marriage and civil partnerships</w:t>
            </w:r>
          </w:p>
        </w:tc>
        <w:tc>
          <w:tcPr>
            <w:tcW w:w="11374" w:type="dxa"/>
            <w:vAlign w:val="center"/>
          </w:tcPr>
          <w:p w14:paraId="6070648F" w14:textId="77777777" w:rsidR="002902CB" w:rsidRDefault="0041582B" w:rsidP="00A05478">
            <w:pPr>
              <w:spacing w:after="120" w:line="276" w:lineRule="auto"/>
              <w:rPr>
                <w:sz w:val="22"/>
                <w:szCs w:val="18"/>
              </w:rPr>
            </w:pPr>
            <w:r w:rsidRPr="002C7612">
              <w:rPr>
                <w:sz w:val="22"/>
                <w:szCs w:val="18"/>
              </w:rPr>
              <w:t xml:space="preserve">This characteristic is out of scope for this EQIA because the policy outputs are not related to employment. </w:t>
            </w:r>
          </w:p>
          <w:p w14:paraId="1263F083" w14:textId="52CEA0CF" w:rsidR="002C7612" w:rsidRPr="002C7612" w:rsidRDefault="002C7612" w:rsidP="00A05478">
            <w:pPr>
              <w:spacing w:after="120" w:line="276" w:lineRule="auto"/>
              <w:rPr>
                <w:sz w:val="22"/>
                <w:szCs w:val="18"/>
              </w:rPr>
            </w:pPr>
            <w:r>
              <w:rPr>
                <w:rFonts w:cs="Arial"/>
                <w:color w:val="000000"/>
                <w:sz w:val="22"/>
                <w:szCs w:val="22"/>
                <w:lang w:val="en-US"/>
              </w:rPr>
              <w:t>We don’t hold SGB workforce equality data.</w:t>
            </w:r>
          </w:p>
        </w:tc>
      </w:tr>
      <w:tr w:rsidR="002902CB" w:rsidRPr="00613CF8" w14:paraId="3B35449F" w14:textId="77777777" w:rsidTr="00394263">
        <w:trPr>
          <w:trHeight w:val="680"/>
        </w:trPr>
        <w:tc>
          <w:tcPr>
            <w:tcW w:w="3018" w:type="dxa"/>
            <w:shd w:val="clear" w:color="auto" w:fill="002060"/>
            <w:vAlign w:val="center"/>
          </w:tcPr>
          <w:p w14:paraId="0A9DD427" w14:textId="77777777" w:rsidR="002902CB" w:rsidRPr="00E96C98" w:rsidRDefault="002902CB"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Pregnancy and Maternity</w:t>
            </w:r>
          </w:p>
        </w:tc>
        <w:tc>
          <w:tcPr>
            <w:tcW w:w="11374" w:type="dxa"/>
            <w:vAlign w:val="center"/>
          </w:tcPr>
          <w:p w14:paraId="6D34B726" w14:textId="77777777" w:rsidR="002902CB" w:rsidRDefault="002C7612" w:rsidP="00A05478">
            <w:pPr>
              <w:spacing w:after="120" w:line="276" w:lineRule="auto"/>
              <w:rPr>
                <w:sz w:val="22"/>
                <w:szCs w:val="18"/>
              </w:rPr>
            </w:pPr>
            <w:r w:rsidRPr="002C7612">
              <w:rPr>
                <w:sz w:val="22"/>
                <w:szCs w:val="18"/>
              </w:rPr>
              <w:t>This characteristic is out of scope for this EQIA because the policy outputs are not related to employment.</w:t>
            </w:r>
          </w:p>
          <w:p w14:paraId="63E09EB4" w14:textId="1A631422" w:rsidR="002C7612" w:rsidRPr="00613CF8" w:rsidRDefault="002C7612" w:rsidP="00A05478">
            <w:pPr>
              <w:spacing w:after="120" w:line="276" w:lineRule="auto"/>
              <w:rPr>
                <w:rFonts w:cs="Arial"/>
                <w:color w:val="000000"/>
                <w:sz w:val="22"/>
                <w:szCs w:val="22"/>
                <w:lang w:val="en-US"/>
              </w:rPr>
            </w:pPr>
            <w:r>
              <w:rPr>
                <w:rFonts w:cs="Arial"/>
                <w:color w:val="000000"/>
                <w:sz w:val="22"/>
                <w:szCs w:val="22"/>
                <w:lang w:val="en-US"/>
              </w:rPr>
              <w:t>We don’t hold SGB workforce equality data.</w:t>
            </w:r>
          </w:p>
        </w:tc>
      </w:tr>
      <w:tr w:rsidR="002902CB" w:rsidRPr="00613CF8" w14:paraId="77DE1092" w14:textId="77777777" w:rsidTr="00394263">
        <w:trPr>
          <w:trHeight w:val="680"/>
        </w:trPr>
        <w:tc>
          <w:tcPr>
            <w:tcW w:w="3018" w:type="dxa"/>
            <w:shd w:val="clear" w:color="auto" w:fill="002060"/>
            <w:vAlign w:val="center"/>
          </w:tcPr>
          <w:p w14:paraId="05964A74" w14:textId="77777777" w:rsidR="002902CB" w:rsidRPr="00E96C98" w:rsidRDefault="002902CB"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Race</w:t>
            </w:r>
          </w:p>
        </w:tc>
        <w:tc>
          <w:tcPr>
            <w:tcW w:w="11374" w:type="dxa"/>
            <w:vAlign w:val="center"/>
          </w:tcPr>
          <w:p w14:paraId="611CE99D" w14:textId="1CBA9D96" w:rsidR="002902CB" w:rsidRDefault="002C7612" w:rsidP="002902CB">
            <w:pPr>
              <w:spacing w:after="120" w:line="288" w:lineRule="auto"/>
              <w:rPr>
                <w:rFonts w:cs="Arial"/>
                <w:color w:val="000000"/>
                <w:sz w:val="22"/>
                <w:szCs w:val="22"/>
                <w:lang w:val="en-US"/>
              </w:rPr>
            </w:pPr>
            <w:r>
              <w:rPr>
                <w:rFonts w:cs="Arial"/>
                <w:color w:val="000000"/>
                <w:sz w:val="22"/>
                <w:szCs w:val="22"/>
                <w:lang w:val="en-US"/>
              </w:rPr>
              <w:t xml:space="preserve">Data on race or ethnicity was not captured </w:t>
            </w:r>
            <w:r w:rsidR="00CE5DA8">
              <w:rPr>
                <w:rFonts w:cs="Arial"/>
                <w:color w:val="000000"/>
                <w:sz w:val="22"/>
                <w:szCs w:val="22"/>
                <w:lang w:val="en-US"/>
              </w:rPr>
              <w:t>via 2022-23 SGB Annual Return for the seven identified sports.</w:t>
            </w:r>
          </w:p>
          <w:p w14:paraId="71B2EA93" w14:textId="2D3B1336" w:rsidR="002C7612" w:rsidRPr="002C7612" w:rsidRDefault="002C7612" w:rsidP="002902CB">
            <w:pPr>
              <w:spacing w:after="120" w:line="288" w:lineRule="auto"/>
              <w:rPr>
                <w:rFonts w:cs="Arial"/>
                <w:color w:val="000000"/>
                <w:sz w:val="22"/>
                <w:szCs w:val="22"/>
                <w:lang w:val="en-US"/>
              </w:rPr>
            </w:pPr>
            <w:r>
              <w:rPr>
                <w:rFonts w:cs="Arial"/>
                <w:color w:val="000000"/>
                <w:sz w:val="22"/>
                <w:szCs w:val="22"/>
                <w:lang w:val="en-US"/>
              </w:rPr>
              <w:t>We don’t hold SGB workforce equality data.</w:t>
            </w:r>
          </w:p>
        </w:tc>
      </w:tr>
      <w:tr w:rsidR="002902CB" w:rsidRPr="00613CF8" w14:paraId="0681865C" w14:textId="77777777" w:rsidTr="00394263">
        <w:trPr>
          <w:trHeight w:val="680"/>
        </w:trPr>
        <w:tc>
          <w:tcPr>
            <w:tcW w:w="3018" w:type="dxa"/>
            <w:shd w:val="clear" w:color="auto" w:fill="002060"/>
            <w:vAlign w:val="center"/>
          </w:tcPr>
          <w:p w14:paraId="1D2EA4F5" w14:textId="77777777" w:rsidR="002902CB" w:rsidRPr="00E96C98" w:rsidRDefault="002902CB"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Religion and Belief</w:t>
            </w:r>
          </w:p>
        </w:tc>
        <w:tc>
          <w:tcPr>
            <w:tcW w:w="11374" w:type="dxa"/>
            <w:vAlign w:val="center"/>
          </w:tcPr>
          <w:p w14:paraId="5B982A49" w14:textId="51DDD6A8" w:rsidR="002902CB" w:rsidRDefault="002C7612" w:rsidP="002902CB">
            <w:pPr>
              <w:spacing w:after="120" w:line="288" w:lineRule="auto"/>
              <w:rPr>
                <w:rFonts w:cs="Arial"/>
                <w:color w:val="000000"/>
                <w:sz w:val="22"/>
                <w:szCs w:val="22"/>
                <w:lang w:val="en-US"/>
              </w:rPr>
            </w:pPr>
            <w:r>
              <w:rPr>
                <w:rFonts w:cs="Arial"/>
                <w:color w:val="000000"/>
                <w:sz w:val="22"/>
                <w:szCs w:val="22"/>
                <w:lang w:val="en-US"/>
              </w:rPr>
              <w:t xml:space="preserve">Data on religion and belief was not captured </w:t>
            </w:r>
            <w:r w:rsidR="00CE5DA8">
              <w:rPr>
                <w:rFonts w:cs="Arial"/>
                <w:color w:val="000000"/>
                <w:sz w:val="22"/>
                <w:szCs w:val="22"/>
                <w:lang w:val="en-US"/>
              </w:rPr>
              <w:t>via 2022-23 SGB Annual Return for the seven identified sports.</w:t>
            </w:r>
            <w:r>
              <w:rPr>
                <w:rFonts w:cs="Arial"/>
                <w:color w:val="000000"/>
                <w:sz w:val="22"/>
                <w:szCs w:val="22"/>
                <w:lang w:val="en-US"/>
              </w:rPr>
              <w:t>.</w:t>
            </w:r>
          </w:p>
          <w:p w14:paraId="217AFE7B" w14:textId="779B1D11" w:rsidR="002C7612" w:rsidRPr="00613CF8" w:rsidRDefault="002C7612" w:rsidP="002902CB">
            <w:pPr>
              <w:spacing w:after="120" w:line="288" w:lineRule="auto"/>
              <w:rPr>
                <w:rFonts w:cs="Arial"/>
                <w:b/>
                <w:bCs/>
                <w:color w:val="000000"/>
                <w:sz w:val="22"/>
                <w:szCs w:val="22"/>
                <w:lang w:val="en-US"/>
              </w:rPr>
            </w:pPr>
            <w:r>
              <w:rPr>
                <w:rFonts w:cs="Arial"/>
                <w:color w:val="000000"/>
                <w:sz w:val="22"/>
                <w:szCs w:val="22"/>
                <w:lang w:val="en-US"/>
              </w:rPr>
              <w:t>We don’t hold SGB workforce equality data.</w:t>
            </w:r>
          </w:p>
        </w:tc>
      </w:tr>
      <w:tr w:rsidR="002902CB" w:rsidRPr="00613CF8" w14:paraId="07018E1F" w14:textId="77777777" w:rsidTr="00394263">
        <w:trPr>
          <w:trHeight w:val="680"/>
        </w:trPr>
        <w:tc>
          <w:tcPr>
            <w:tcW w:w="3018" w:type="dxa"/>
            <w:shd w:val="clear" w:color="auto" w:fill="002060"/>
            <w:vAlign w:val="center"/>
          </w:tcPr>
          <w:p w14:paraId="320C2A73" w14:textId="77777777" w:rsidR="002902CB" w:rsidRPr="00E96C98" w:rsidRDefault="002902CB"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 xml:space="preserve">Sex: women and Men </w:t>
            </w:r>
          </w:p>
        </w:tc>
        <w:tc>
          <w:tcPr>
            <w:tcW w:w="11374" w:type="dxa"/>
            <w:vAlign w:val="center"/>
          </w:tcPr>
          <w:p w14:paraId="037D0322" w14:textId="55B86CDC" w:rsidR="002902CB" w:rsidRDefault="002C7612" w:rsidP="002902CB">
            <w:pPr>
              <w:spacing w:after="120" w:line="288" w:lineRule="auto"/>
              <w:rPr>
                <w:rFonts w:cs="Arial"/>
                <w:color w:val="000000"/>
                <w:sz w:val="22"/>
                <w:szCs w:val="22"/>
                <w:lang w:val="en-US"/>
              </w:rPr>
            </w:pPr>
            <w:r>
              <w:rPr>
                <w:rFonts w:cs="Arial"/>
                <w:color w:val="000000"/>
                <w:sz w:val="22"/>
                <w:szCs w:val="22"/>
                <w:lang w:val="en-US"/>
              </w:rPr>
              <w:t xml:space="preserve">2022-23 </w:t>
            </w:r>
            <w:r w:rsidRPr="00CB75E6">
              <w:rPr>
                <w:rFonts w:cs="Arial"/>
                <w:color w:val="000000"/>
                <w:sz w:val="22"/>
                <w:szCs w:val="22"/>
                <w:lang w:val="en-US"/>
              </w:rPr>
              <w:t xml:space="preserve">SGB </w:t>
            </w:r>
            <w:r w:rsidR="00CE5DA8">
              <w:rPr>
                <w:rFonts w:cs="Arial"/>
                <w:color w:val="000000"/>
                <w:sz w:val="22"/>
                <w:szCs w:val="22"/>
                <w:lang w:val="en-US"/>
              </w:rPr>
              <w:t xml:space="preserve">Annual Return </w:t>
            </w:r>
            <w:r w:rsidRPr="00CB75E6">
              <w:rPr>
                <w:rFonts w:cs="Arial"/>
                <w:color w:val="000000"/>
                <w:sz w:val="22"/>
                <w:szCs w:val="22"/>
                <w:lang w:val="en-US"/>
              </w:rPr>
              <w:t xml:space="preserve">membership across the seven identified sports is </w:t>
            </w:r>
            <w:r>
              <w:rPr>
                <w:rFonts w:cs="Arial"/>
                <w:color w:val="000000"/>
                <w:sz w:val="22"/>
                <w:szCs w:val="22"/>
                <w:lang w:val="en-US"/>
              </w:rPr>
              <w:t>split:</w:t>
            </w:r>
          </w:p>
          <w:p w14:paraId="480A2FFC" w14:textId="4738FE43" w:rsidR="002C7612" w:rsidRPr="00610C1B" w:rsidRDefault="002C7612" w:rsidP="00610C1B">
            <w:pPr>
              <w:pStyle w:val="ListParagraph"/>
              <w:numPr>
                <w:ilvl w:val="0"/>
                <w:numId w:val="33"/>
              </w:numPr>
              <w:spacing w:after="120" w:line="288" w:lineRule="auto"/>
              <w:rPr>
                <w:rFonts w:cs="Arial"/>
                <w:color w:val="000000"/>
                <w:sz w:val="22"/>
                <w:szCs w:val="22"/>
                <w:lang w:val="en-US"/>
              </w:rPr>
            </w:pPr>
            <w:r w:rsidRPr="00610C1B">
              <w:rPr>
                <w:rFonts w:cs="Arial"/>
                <w:color w:val="000000"/>
                <w:sz w:val="22"/>
                <w:szCs w:val="22"/>
                <w:lang w:val="en-US"/>
              </w:rPr>
              <w:t xml:space="preserve">Male: </w:t>
            </w:r>
            <w:r w:rsidR="00610C1B" w:rsidRPr="00610C1B">
              <w:rPr>
                <w:rFonts w:cs="Arial"/>
                <w:color w:val="000000"/>
                <w:sz w:val="22"/>
                <w:szCs w:val="22"/>
                <w:lang w:val="en-US"/>
              </w:rPr>
              <w:t>54</w:t>
            </w:r>
            <w:r w:rsidRPr="00610C1B">
              <w:rPr>
                <w:rFonts w:cs="Arial"/>
                <w:color w:val="000000"/>
                <w:sz w:val="22"/>
                <w:szCs w:val="22"/>
                <w:lang w:val="en-US"/>
              </w:rPr>
              <w:t>%</w:t>
            </w:r>
            <w:r w:rsidR="00CE5DA8">
              <w:rPr>
                <w:rFonts w:cs="Arial"/>
                <w:color w:val="000000"/>
                <w:sz w:val="22"/>
                <w:szCs w:val="22"/>
                <w:lang w:val="en-US"/>
              </w:rPr>
              <w:t xml:space="preserve"> or </w:t>
            </w:r>
            <w:r w:rsidR="00CE5DA8" w:rsidRPr="00610C1B">
              <w:rPr>
                <w:rFonts w:cs="Arial"/>
                <w:color w:val="000000"/>
                <w:sz w:val="22"/>
                <w:szCs w:val="22"/>
                <w:lang w:val="en-US"/>
              </w:rPr>
              <w:t>1,603</w:t>
            </w:r>
          </w:p>
          <w:p w14:paraId="77E1A9F9" w14:textId="0EB71A7E" w:rsidR="00610C1B" w:rsidRDefault="002C7612" w:rsidP="00610C1B">
            <w:pPr>
              <w:pStyle w:val="ListParagraph"/>
              <w:numPr>
                <w:ilvl w:val="0"/>
                <w:numId w:val="33"/>
              </w:numPr>
              <w:spacing w:after="120" w:line="288" w:lineRule="auto"/>
              <w:rPr>
                <w:rFonts w:cs="Arial"/>
                <w:color w:val="000000"/>
                <w:sz w:val="22"/>
                <w:szCs w:val="22"/>
                <w:lang w:val="en-US"/>
              </w:rPr>
            </w:pPr>
            <w:r w:rsidRPr="00610C1B">
              <w:rPr>
                <w:rFonts w:cs="Arial"/>
                <w:color w:val="000000"/>
                <w:sz w:val="22"/>
                <w:szCs w:val="22"/>
                <w:lang w:val="en-US"/>
              </w:rPr>
              <w:t xml:space="preserve">Female: </w:t>
            </w:r>
            <w:r w:rsidR="00610C1B" w:rsidRPr="00610C1B">
              <w:rPr>
                <w:rFonts w:cs="Arial"/>
                <w:color w:val="000000"/>
                <w:sz w:val="22"/>
                <w:szCs w:val="22"/>
                <w:lang w:val="en-US"/>
              </w:rPr>
              <w:t>46</w:t>
            </w:r>
            <w:r w:rsidRPr="00610C1B">
              <w:rPr>
                <w:rFonts w:cs="Arial"/>
                <w:color w:val="000000"/>
                <w:sz w:val="22"/>
                <w:szCs w:val="22"/>
                <w:lang w:val="en-US"/>
              </w:rPr>
              <w:t>%</w:t>
            </w:r>
            <w:r w:rsidR="00CE5DA8">
              <w:rPr>
                <w:rFonts w:cs="Arial"/>
                <w:color w:val="000000"/>
                <w:sz w:val="22"/>
                <w:szCs w:val="22"/>
                <w:lang w:val="en-US"/>
              </w:rPr>
              <w:t xml:space="preserve"> or </w:t>
            </w:r>
            <w:r w:rsidR="00CE5DA8" w:rsidRPr="00610C1B">
              <w:rPr>
                <w:rFonts w:cs="Arial"/>
                <w:color w:val="000000"/>
                <w:sz w:val="22"/>
                <w:szCs w:val="22"/>
                <w:lang w:val="en-US"/>
              </w:rPr>
              <w:t>1,321</w:t>
            </w:r>
          </w:p>
          <w:p w14:paraId="27A1499B" w14:textId="405DCC12" w:rsidR="006A180E" w:rsidRDefault="006A180E" w:rsidP="006A180E">
            <w:pPr>
              <w:spacing w:after="120" w:line="288" w:lineRule="auto"/>
              <w:rPr>
                <w:rFonts w:cs="Arial"/>
                <w:color w:val="000000"/>
                <w:sz w:val="22"/>
                <w:szCs w:val="22"/>
                <w:lang w:val="en-US"/>
              </w:rPr>
            </w:pPr>
            <w:r>
              <w:rPr>
                <w:rFonts w:cs="Arial"/>
                <w:color w:val="000000"/>
                <w:sz w:val="22"/>
                <w:szCs w:val="22"/>
                <w:lang w:val="en-US"/>
              </w:rPr>
              <w:lastRenderedPageBreak/>
              <w:t xml:space="preserve">This is </w:t>
            </w:r>
            <w:r w:rsidRPr="00610C1B">
              <w:rPr>
                <w:rFonts w:cs="Arial"/>
                <w:color w:val="000000"/>
                <w:sz w:val="22"/>
                <w:szCs w:val="22"/>
                <w:lang w:val="en-US"/>
              </w:rPr>
              <w:t>compared to</w:t>
            </w:r>
            <w:r>
              <w:rPr>
                <w:rFonts w:cs="Arial"/>
                <w:color w:val="000000"/>
                <w:sz w:val="22"/>
                <w:szCs w:val="22"/>
                <w:lang w:val="en-US"/>
              </w:rPr>
              <w:t xml:space="preserve"> 799,901 total members</w:t>
            </w:r>
            <w:r w:rsidRPr="00610C1B">
              <w:rPr>
                <w:rFonts w:cs="Arial"/>
                <w:color w:val="000000"/>
                <w:sz w:val="22"/>
                <w:szCs w:val="22"/>
                <w:lang w:val="en-US"/>
              </w:rPr>
              <w:t xml:space="preserve"> across all SGBs</w:t>
            </w:r>
            <w:r>
              <w:rPr>
                <w:rFonts w:cs="Arial"/>
                <w:color w:val="000000"/>
                <w:sz w:val="22"/>
                <w:szCs w:val="22"/>
                <w:lang w:val="en-US"/>
              </w:rPr>
              <w:t xml:space="preserve">, split 69% Male / 27% female / 5% prefer not to say. </w:t>
            </w:r>
          </w:p>
          <w:p w14:paraId="6328270E" w14:textId="0E479219" w:rsidR="00CE5DA8" w:rsidRDefault="00CE5DA8" w:rsidP="00CE5DA8">
            <w:pPr>
              <w:spacing w:after="120" w:line="288" w:lineRule="auto"/>
              <w:rPr>
                <w:rFonts w:cs="Arial"/>
                <w:color w:val="000000"/>
                <w:sz w:val="22"/>
                <w:szCs w:val="22"/>
                <w:lang w:val="en-US"/>
              </w:rPr>
            </w:pPr>
            <w:r>
              <w:rPr>
                <w:rFonts w:cs="Arial"/>
                <w:color w:val="000000"/>
                <w:sz w:val="22"/>
                <w:szCs w:val="22"/>
                <w:lang w:val="en-US"/>
              </w:rPr>
              <w:t>Two sports</w:t>
            </w:r>
            <w:r w:rsidR="006A180E">
              <w:rPr>
                <w:rFonts w:cs="Arial"/>
                <w:color w:val="000000"/>
                <w:sz w:val="22"/>
                <w:szCs w:val="22"/>
                <w:lang w:val="en-US"/>
              </w:rPr>
              <w:t xml:space="preserve"> of the smaller SGBs</w:t>
            </w:r>
            <w:r>
              <w:rPr>
                <w:rFonts w:cs="Arial"/>
                <w:color w:val="000000"/>
                <w:sz w:val="22"/>
                <w:szCs w:val="22"/>
                <w:lang w:val="en-US"/>
              </w:rPr>
              <w:t xml:space="preserve"> are predominantly female – Lacrosse (74%) and </w:t>
            </w:r>
            <w:proofErr w:type="spellStart"/>
            <w:r>
              <w:rPr>
                <w:rFonts w:cs="Arial"/>
                <w:color w:val="000000"/>
                <w:sz w:val="22"/>
                <w:szCs w:val="22"/>
                <w:lang w:val="en-US"/>
              </w:rPr>
              <w:t>DanceSport</w:t>
            </w:r>
            <w:proofErr w:type="spellEnd"/>
            <w:r>
              <w:rPr>
                <w:rFonts w:cs="Arial"/>
                <w:color w:val="000000"/>
                <w:sz w:val="22"/>
                <w:szCs w:val="22"/>
                <w:lang w:val="en-US"/>
              </w:rPr>
              <w:t xml:space="preserve"> (62%)</w:t>
            </w:r>
            <w:r w:rsidR="006A180E">
              <w:rPr>
                <w:rFonts w:cs="Arial"/>
                <w:color w:val="000000"/>
                <w:sz w:val="22"/>
                <w:szCs w:val="22"/>
                <w:lang w:val="en-US"/>
              </w:rPr>
              <w:t>.</w:t>
            </w:r>
            <w:r w:rsidR="00CB5F54">
              <w:rPr>
                <w:rFonts w:cs="Arial"/>
                <w:color w:val="000000"/>
                <w:sz w:val="22"/>
                <w:szCs w:val="22"/>
                <w:lang w:val="en-US"/>
              </w:rPr>
              <w:t xml:space="preserve"> However both sports total membership is around 500. </w:t>
            </w:r>
          </w:p>
          <w:p w14:paraId="17C54C01" w14:textId="2D2D167C" w:rsidR="002C7612" w:rsidRPr="002C7612" w:rsidRDefault="002C7612" w:rsidP="002902CB">
            <w:pPr>
              <w:spacing w:after="120" w:line="288" w:lineRule="auto"/>
              <w:rPr>
                <w:rFonts w:cs="Arial"/>
                <w:color w:val="000000"/>
                <w:sz w:val="22"/>
                <w:szCs w:val="22"/>
                <w:lang w:val="en-US"/>
              </w:rPr>
            </w:pPr>
            <w:r>
              <w:rPr>
                <w:rFonts w:cs="Arial"/>
                <w:color w:val="000000"/>
                <w:sz w:val="22"/>
                <w:szCs w:val="22"/>
                <w:lang w:val="en-US"/>
              </w:rPr>
              <w:t>We don’t hold SGB workforce equality data.</w:t>
            </w:r>
          </w:p>
        </w:tc>
      </w:tr>
      <w:tr w:rsidR="002C7612" w:rsidRPr="00613CF8" w14:paraId="7E0F027E" w14:textId="77777777" w:rsidTr="00394263">
        <w:trPr>
          <w:trHeight w:val="680"/>
        </w:trPr>
        <w:tc>
          <w:tcPr>
            <w:tcW w:w="3018" w:type="dxa"/>
            <w:shd w:val="clear" w:color="auto" w:fill="002060"/>
            <w:vAlign w:val="center"/>
          </w:tcPr>
          <w:p w14:paraId="61B5E0E0" w14:textId="77777777" w:rsidR="002C7612" w:rsidRPr="00E96C98" w:rsidRDefault="002C7612" w:rsidP="002C7612">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lastRenderedPageBreak/>
              <w:t xml:space="preserve">Sexual Orientation </w:t>
            </w:r>
          </w:p>
        </w:tc>
        <w:tc>
          <w:tcPr>
            <w:tcW w:w="11374" w:type="dxa"/>
            <w:vAlign w:val="center"/>
          </w:tcPr>
          <w:p w14:paraId="4BE28E84" w14:textId="658A7FAA" w:rsidR="002C7612" w:rsidRDefault="002C7612" w:rsidP="002C7612">
            <w:pPr>
              <w:spacing w:after="120" w:line="288" w:lineRule="auto"/>
              <w:rPr>
                <w:rFonts w:cs="Arial"/>
                <w:color w:val="000000"/>
                <w:sz w:val="22"/>
                <w:szCs w:val="22"/>
                <w:lang w:val="en-US"/>
              </w:rPr>
            </w:pPr>
            <w:r>
              <w:rPr>
                <w:rFonts w:cs="Arial"/>
                <w:color w:val="000000"/>
                <w:sz w:val="22"/>
                <w:szCs w:val="22"/>
                <w:lang w:val="en-US"/>
              </w:rPr>
              <w:t xml:space="preserve">Data on sexual orientation was not captured via </w:t>
            </w:r>
            <w:r w:rsidR="00CE5DA8">
              <w:rPr>
                <w:rFonts w:cs="Arial"/>
                <w:color w:val="000000"/>
                <w:sz w:val="22"/>
                <w:szCs w:val="22"/>
                <w:lang w:val="en-US"/>
              </w:rPr>
              <w:t xml:space="preserve">2022-23 SGB Annual Return </w:t>
            </w:r>
            <w:r>
              <w:rPr>
                <w:rFonts w:cs="Arial"/>
                <w:color w:val="000000"/>
                <w:sz w:val="22"/>
                <w:szCs w:val="22"/>
                <w:lang w:val="en-US"/>
              </w:rPr>
              <w:t>for the seven identified sports.</w:t>
            </w:r>
          </w:p>
          <w:p w14:paraId="1980D243" w14:textId="4D82370B" w:rsidR="002C7612" w:rsidRPr="00613CF8" w:rsidRDefault="002C7612" w:rsidP="002C7612">
            <w:pPr>
              <w:spacing w:after="120" w:line="288" w:lineRule="auto"/>
              <w:rPr>
                <w:rFonts w:cs="Arial"/>
                <w:b/>
                <w:bCs/>
                <w:color w:val="000000"/>
                <w:sz w:val="22"/>
                <w:szCs w:val="22"/>
                <w:lang w:val="en-US"/>
              </w:rPr>
            </w:pPr>
            <w:r>
              <w:rPr>
                <w:rFonts w:cs="Arial"/>
                <w:color w:val="000000"/>
                <w:sz w:val="22"/>
                <w:szCs w:val="22"/>
                <w:lang w:val="en-US"/>
              </w:rPr>
              <w:t>We don’t hold SGB workforce equality data.</w:t>
            </w:r>
          </w:p>
        </w:tc>
      </w:tr>
      <w:tr w:rsidR="002C7612" w:rsidRPr="00613CF8" w14:paraId="5DAF4C28" w14:textId="77777777" w:rsidTr="00394263">
        <w:trPr>
          <w:trHeight w:val="680"/>
        </w:trPr>
        <w:tc>
          <w:tcPr>
            <w:tcW w:w="3018" w:type="dxa"/>
            <w:shd w:val="clear" w:color="auto" w:fill="002060"/>
            <w:vAlign w:val="center"/>
          </w:tcPr>
          <w:p w14:paraId="20DF97C8" w14:textId="77777777" w:rsidR="002C7612" w:rsidRPr="00E96C98" w:rsidRDefault="002C7612" w:rsidP="002C7612">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Socio-economic disadvantage: any people experiencing poverty</w:t>
            </w:r>
          </w:p>
        </w:tc>
        <w:tc>
          <w:tcPr>
            <w:tcW w:w="11374" w:type="dxa"/>
            <w:vAlign w:val="center"/>
          </w:tcPr>
          <w:p w14:paraId="580C188E" w14:textId="08D9A5C2" w:rsidR="00610C1B" w:rsidRDefault="00610C1B" w:rsidP="00610C1B">
            <w:pPr>
              <w:spacing w:after="120" w:line="288" w:lineRule="auto"/>
              <w:rPr>
                <w:rFonts w:cs="Arial"/>
                <w:color w:val="000000"/>
                <w:sz w:val="22"/>
                <w:szCs w:val="22"/>
                <w:lang w:val="en-US"/>
              </w:rPr>
            </w:pPr>
            <w:r>
              <w:rPr>
                <w:rFonts w:cs="Arial"/>
                <w:color w:val="000000"/>
                <w:sz w:val="22"/>
                <w:szCs w:val="22"/>
                <w:lang w:val="en-US"/>
              </w:rPr>
              <w:t xml:space="preserve">Data on socio-economic disadvantage was not captured via 2022-23 SGB membership for the seven identified sports. </w:t>
            </w:r>
          </w:p>
          <w:p w14:paraId="6316DC45" w14:textId="17718A1B" w:rsidR="00610C1B" w:rsidRDefault="00610C1B" w:rsidP="00610C1B">
            <w:pPr>
              <w:spacing w:after="120" w:line="288" w:lineRule="auto"/>
              <w:rPr>
                <w:rFonts w:cs="Arial"/>
                <w:color w:val="000000"/>
                <w:sz w:val="22"/>
                <w:szCs w:val="22"/>
                <w:lang w:val="en-US"/>
              </w:rPr>
            </w:pPr>
            <w:r>
              <w:rPr>
                <w:rFonts w:cs="Arial"/>
                <w:color w:val="000000"/>
                <w:sz w:val="22"/>
                <w:szCs w:val="22"/>
                <w:lang w:val="en-US"/>
              </w:rPr>
              <w:t>Direct surveys from five sports showed 70 of playing members within SGB affiliated clubs are from the 20% most deprived areas in Scotland based on postcode analysis to SIMD 2020.</w:t>
            </w:r>
          </w:p>
          <w:p w14:paraId="3CCE9ECF" w14:textId="178679B7" w:rsidR="002C7612" w:rsidRPr="00613CF8" w:rsidRDefault="002C7612" w:rsidP="002C7612">
            <w:pPr>
              <w:spacing w:after="120" w:line="288" w:lineRule="auto"/>
              <w:rPr>
                <w:rFonts w:cs="Arial"/>
                <w:b/>
                <w:bCs/>
                <w:color w:val="000000"/>
                <w:sz w:val="22"/>
                <w:szCs w:val="22"/>
                <w:lang w:val="en-US"/>
              </w:rPr>
            </w:pPr>
            <w:r>
              <w:rPr>
                <w:rFonts w:cs="Arial"/>
                <w:color w:val="000000"/>
                <w:sz w:val="22"/>
                <w:szCs w:val="22"/>
                <w:lang w:val="en-US"/>
              </w:rPr>
              <w:t>We don’t hold SGB workforce equality data.</w:t>
            </w:r>
          </w:p>
        </w:tc>
      </w:tr>
      <w:tr w:rsidR="002C7612" w:rsidRPr="00613CF8" w14:paraId="3119280F" w14:textId="77777777" w:rsidTr="00394263">
        <w:trPr>
          <w:trHeight w:val="680"/>
        </w:trPr>
        <w:tc>
          <w:tcPr>
            <w:tcW w:w="3018" w:type="dxa"/>
            <w:shd w:val="clear" w:color="auto" w:fill="002060"/>
            <w:vAlign w:val="center"/>
          </w:tcPr>
          <w:p w14:paraId="29097605" w14:textId="77777777" w:rsidR="002C7612" w:rsidRPr="00E96C98" w:rsidRDefault="002C7612" w:rsidP="002C7612">
            <w:pPr>
              <w:spacing w:after="120" w:line="288" w:lineRule="auto"/>
              <w:rPr>
                <w:rFonts w:cs="Arial"/>
                <w:b/>
                <w:bCs/>
                <w:color w:val="FFFFFF" w:themeColor="background1"/>
                <w:sz w:val="22"/>
                <w:szCs w:val="22"/>
                <w:lang w:val="en-US"/>
              </w:rPr>
            </w:pPr>
            <w:r>
              <w:rPr>
                <w:rFonts w:cs="Arial"/>
                <w:b/>
                <w:bCs/>
                <w:color w:val="FFFFFF" w:themeColor="background1"/>
                <w:sz w:val="22"/>
                <w:szCs w:val="22"/>
                <w:lang w:val="en-US"/>
              </w:rPr>
              <w:t>Care-experienced young people</w:t>
            </w:r>
          </w:p>
        </w:tc>
        <w:tc>
          <w:tcPr>
            <w:tcW w:w="11374" w:type="dxa"/>
            <w:vAlign w:val="center"/>
          </w:tcPr>
          <w:p w14:paraId="74A4C889" w14:textId="77777777" w:rsidR="002C7612" w:rsidRDefault="002C7612" w:rsidP="002C7612">
            <w:pPr>
              <w:spacing w:after="120" w:line="288" w:lineRule="auto"/>
              <w:rPr>
                <w:rFonts w:cs="Arial"/>
                <w:color w:val="000000"/>
                <w:sz w:val="22"/>
                <w:szCs w:val="22"/>
                <w:lang w:val="en-US"/>
              </w:rPr>
            </w:pPr>
            <w:r>
              <w:rPr>
                <w:rFonts w:cs="Arial"/>
                <w:color w:val="000000"/>
                <w:sz w:val="22"/>
                <w:szCs w:val="22"/>
                <w:lang w:val="en-US"/>
              </w:rPr>
              <w:t>Data on care-experience was not captured via 2022-23 SGB membership for the seven identified sports.</w:t>
            </w:r>
          </w:p>
          <w:p w14:paraId="6B016F56" w14:textId="70AE1EBC" w:rsidR="002C7612" w:rsidRPr="00613CF8" w:rsidRDefault="002C7612" w:rsidP="002C7612">
            <w:pPr>
              <w:spacing w:after="120" w:line="288" w:lineRule="auto"/>
              <w:rPr>
                <w:rFonts w:cs="Arial"/>
                <w:b/>
                <w:bCs/>
                <w:color w:val="000000"/>
                <w:sz w:val="22"/>
                <w:szCs w:val="22"/>
                <w:lang w:val="en-US"/>
              </w:rPr>
            </w:pPr>
            <w:r>
              <w:rPr>
                <w:rFonts w:cs="Arial"/>
                <w:color w:val="000000"/>
                <w:sz w:val="22"/>
                <w:szCs w:val="22"/>
                <w:lang w:val="en-US"/>
              </w:rPr>
              <w:t>We don’t hold SGB workforce equality data.</w:t>
            </w:r>
          </w:p>
        </w:tc>
      </w:tr>
    </w:tbl>
    <w:p w14:paraId="685E1C53" w14:textId="77777777" w:rsidR="00613CF8" w:rsidRPr="00613CF8" w:rsidRDefault="00613CF8" w:rsidP="00613CF8">
      <w:pPr>
        <w:spacing w:before="480" w:after="120" w:line="240" w:lineRule="atLeast"/>
        <w:outlineLvl w:val="0"/>
        <w:rPr>
          <w:b/>
          <w:sz w:val="32"/>
          <w:szCs w:val="28"/>
          <w:lang w:val="en-US"/>
        </w:rPr>
      </w:pPr>
      <w:r w:rsidRPr="00613CF8">
        <w:rPr>
          <w:b/>
          <w:sz w:val="32"/>
          <w:szCs w:val="28"/>
          <w:lang w:val="en-US"/>
        </w:rPr>
        <w:t>Section 4 – Differential impacts and opportunities</w:t>
      </w:r>
    </w:p>
    <w:p w14:paraId="06693032" w14:textId="27FED9E6" w:rsidR="00613CF8" w:rsidRPr="00613CF8" w:rsidRDefault="00613CF8" w:rsidP="008344F1">
      <w:pPr>
        <w:spacing w:after="240" w:line="288" w:lineRule="auto"/>
        <w:rPr>
          <w:sz w:val="22"/>
          <w:szCs w:val="24"/>
          <w:lang w:val="en-US"/>
        </w:rPr>
      </w:pPr>
      <w:r w:rsidRPr="00613CF8">
        <w:rPr>
          <w:sz w:val="22"/>
          <w:szCs w:val="24"/>
          <w:lang w:val="en-US"/>
        </w:rPr>
        <w:t xml:space="preserve">Consider whether the </w:t>
      </w:r>
      <w:r w:rsidR="008E0814">
        <w:rPr>
          <w:sz w:val="22"/>
          <w:szCs w:val="24"/>
          <w:lang w:val="en-US"/>
        </w:rPr>
        <w:t>project, programme or service</w:t>
      </w:r>
      <w:r w:rsidRPr="00613CF8">
        <w:rPr>
          <w:sz w:val="22"/>
          <w:szCs w:val="24"/>
          <w:lang w:val="en-US"/>
        </w:rPr>
        <w:t xml:space="preserve"> might have different impacts on one or more groups</w:t>
      </w:r>
      <w:r w:rsidR="008D6E49">
        <w:rPr>
          <w:sz w:val="22"/>
          <w:szCs w:val="24"/>
          <w:lang w:val="en-US"/>
        </w:rPr>
        <w:t xml:space="preserve"> (positive/neutral/negative)</w:t>
      </w:r>
      <w:r w:rsidR="00474E0C">
        <w:rPr>
          <w:sz w:val="22"/>
          <w:szCs w:val="24"/>
          <w:lang w:val="en-US"/>
        </w:rPr>
        <w:t>, or</w:t>
      </w:r>
      <w:r w:rsidRPr="00613CF8">
        <w:rPr>
          <w:sz w:val="22"/>
          <w:szCs w:val="24"/>
          <w:lang w:val="en-US"/>
        </w:rPr>
        <w:t xml:space="preserve"> whether there are opportunities to improve equality.</w:t>
      </w:r>
    </w:p>
    <w:tbl>
      <w:tblPr>
        <w:tblStyle w:val="TableGrid1"/>
        <w:tblW w:w="14170" w:type="dxa"/>
        <w:tblLook w:val="04A0" w:firstRow="1" w:lastRow="0" w:firstColumn="1" w:lastColumn="0" w:noHBand="0" w:noVBand="1"/>
      </w:tblPr>
      <w:tblGrid>
        <w:gridCol w:w="2972"/>
        <w:gridCol w:w="11198"/>
      </w:tblGrid>
      <w:tr w:rsidR="00613CF8" w:rsidRPr="00613CF8" w14:paraId="6E8F3B75" w14:textId="77777777" w:rsidTr="008E0814">
        <w:trPr>
          <w:trHeight w:val="624"/>
        </w:trPr>
        <w:tc>
          <w:tcPr>
            <w:tcW w:w="2972" w:type="dxa"/>
            <w:shd w:val="clear" w:color="auto" w:fill="002060"/>
            <w:vAlign w:val="center"/>
          </w:tcPr>
          <w:p w14:paraId="0C6AB187" w14:textId="10C43AD1" w:rsidR="00613CF8" w:rsidRPr="00E96C98" w:rsidRDefault="00D33E55" w:rsidP="002902CB">
            <w:pPr>
              <w:spacing w:after="120" w:line="288" w:lineRule="auto"/>
              <w:rPr>
                <w:rFonts w:cs="Arial"/>
                <w:b/>
                <w:bCs/>
                <w:color w:val="FFFFFF" w:themeColor="background1"/>
                <w:sz w:val="22"/>
                <w:szCs w:val="22"/>
                <w:lang w:val="en-US"/>
              </w:rPr>
            </w:pPr>
            <w:r>
              <w:rPr>
                <w:rFonts w:cs="Arial"/>
                <w:b/>
                <w:bCs/>
                <w:color w:val="FFFFFF" w:themeColor="background1"/>
                <w:sz w:val="22"/>
                <w:szCs w:val="22"/>
                <w:lang w:val="en-US"/>
              </w:rPr>
              <w:t>Overall impacts</w:t>
            </w:r>
          </w:p>
        </w:tc>
        <w:tc>
          <w:tcPr>
            <w:tcW w:w="11198" w:type="dxa"/>
            <w:vAlign w:val="center"/>
          </w:tcPr>
          <w:p w14:paraId="35AC7E32" w14:textId="77777777" w:rsidR="00D33E55" w:rsidRDefault="00D33E55" w:rsidP="00D33E55">
            <w:pPr>
              <w:spacing w:after="120" w:line="288" w:lineRule="auto"/>
              <w:rPr>
                <w:rFonts w:cs="Arial"/>
                <w:b/>
                <w:bCs/>
                <w:color w:val="000000"/>
                <w:sz w:val="22"/>
                <w:szCs w:val="22"/>
                <w:lang w:val="en-US"/>
              </w:rPr>
            </w:pPr>
            <w:r>
              <w:rPr>
                <w:rFonts w:cs="Arial"/>
                <w:b/>
                <w:bCs/>
                <w:color w:val="000000"/>
                <w:sz w:val="22"/>
                <w:szCs w:val="22"/>
                <w:lang w:val="en-US"/>
              </w:rPr>
              <w:t>Potential positive impact</w:t>
            </w:r>
          </w:p>
          <w:p w14:paraId="0669AD6D" w14:textId="55876B44" w:rsidR="0074527E" w:rsidRDefault="0074527E" w:rsidP="00D33E55">
            <w:pPr>
              <w:spacing w:after="120" w:line="288" w:lineRule="auto"/>
              <w:rPr>
                <w:rFonts w:cs="Arial"/>
                <w:color w:val="000000"/>
                <w:sz w:val="22"/>
                <w:szCs w:val="22"/>
                <w:lang w:val="en-US"/>
              </w:rPr>
            </w:pPr>
            <w:r>
              <w:rPr>
                <w:rFonts w:cs="Arial"/>
                <w:color w:val="000000"/>
                <w:sz w:val="22"/>
                <w:szCs w:val="22"/>
                <w:lang w:val="en-US"/>
              </w:rPr>
              <w:t xml:space="preserve">The policy </w:t>
            </w:r>
            <w:r w:rsidR="00B27DBD">
              <w:rPr>
                <w:rFonts w:cs="Arial"/>
                <w:color w:val="000000"/>
                <w:sz w:val="22"/>
                <w:szCs w:val="22"/>
                <w:lang w:val="en-US"/>
              </w:rPr>
              <w:t>aims</w:t>
            </w:r>
            <w:r>
              <w:rPr>
                <w:rFonts w:cs="Arial"/>
                <w:color w:val="000000"/>
                <w:sz w:val="22"/>
                <w:szCs w:val="22"/>
                <w:lang w:val="en-US"/>
              </w:rPr>
              <w:t xml:space="preserve"> to free up </w:t>
            </w:r>
            <w:r w:rsidRPr="00CB5F54">
              <w:rPr>
                <w:rFonts w:cs="Arial"/>
                <w:b/>
                <w:bCs/>
                <w:color w:val="000000"/>
                <w:sz w:val="22"/>
                <w:szCs w:val="22"/>
                <w:lang w:val="en-US"/>
              </w:rPr>
              <w:t>sport</w:t>
            </w:r>
            <w:r>
              <w:rPr>
                <w:rFonts w:cs="Arial"/>
                <w:color w:val="000000"/>
                <w:sz w:val="22"/>
                <w:szCs w:val="22"/>
                <w:lang w:val="en-US"/>
              </w:rPr>
              <w:t xml:space="preserve">scotland staff time from smaller sports with limited reach and impact. There is potential to redirect this capacity to support larger sports, who have greater reach and scale across the country, with their equality, </w:t>
            </w:r>
            <w:proofErr w:type="gramStart"/>
            <w:r>
              <w:rPr>
                <w:rFonts w:cs="Arial"/>
                <w:color w:val="000000"/>
                <w:sz w:val="22"/>
                <w:szCs w:val="22"/>
                <w:lang w:val="en-US"/>
              </w:rPr>
              <w:t>diversity</w:t>
            </w:r>
            <w:proofErr w:type="gramEnd"/>
            <w:r>
              <w:rPr>
                <w:rFonts w:cs="Arial"/>
                <w:color w:val="000000"/>
                <w:sz w:val="22"/>
                <w:szCs w:val="22"/>
                <w:lang w:val="en-US"/>
              </w:rPr>
              <w:t xml:space="preserve"> and inclusion ambitions.</w:t>
            </w:r>
            <w:r w:rsidR="00133451">
              <w:rPr>
                <w:rFonts w:cs="Arial"/>
                <w:color w:val="000000"/>
                <w:sz w:val="22"/>
                <w:szCs w:val="22"/>
                <w:lang w:val="en-US"/>
              </w:rPr>
              <w:t xml:space="preserve"> This could result in a greater EDI impact for our investment.</w:t>
            </w:r>
          </w:p>
          <w:p w14:paraId="70CF0046" w14:textId="34CDA5D4" w:rsidR="00133451" w:rsidRDefault="0074527E" w:rsidP="00D33E55">
            <w:pPr>
              <w:spacing w:after="120" w:line="288" w:lineRule="auto"/>
              <w:rPr>
                <w:rFonts w:cs="Arial"/>
                <w:color w:val="000000"/>
                <w:sz w:val="22"/>
                <w:szCs w:val="22"/>
                <w:lang w:val="en-US"/>
              </w:rPr>
            </w:pPr>
            <w:r>
              <w:rPr>
                <w:rFonts w:cs="Arial"/>
                <w:color w:val="000000"/>
                <w:sz w:val="22"/>
                <w:szCs w:val="22"/>
                <w:lang w:val="en-US"/>
              </w:rPr>
              <w:lastRenderedPageBreak/>
              <w:t xml:space="preserve">The policy proposes to reduce the workload of the comprehensive investment process on smaller sports. </w:t>
            </w:r>
            <w:r w:rsidR="00133451">
              <w:rPr>
                <w:rFonts w:cs="Arial"/>
                <w:color w:val="000000"/>
                <w:sz w:val="22"/>
                <w:szCs w:val="22"/>
                <w:lang w:val="en-US"/>
              </w:rPr>
              <w:t>As these sports are primarily run on a voluntary basis, t</w:t>
            </w:r>
            <w:r>
              <w:rPr>
                <w:rFonts w:cs="Arial"/>
                <w:color w:val="000000"/>
                <w:sz w:val="22"/>
                <w:szCs w:val="22"/>
                <w:lang w:val="en-US"/>
              </w:rPr>
              <w:t xml:space="preserve">his may free up their limited capacity to </w:t>
            </w:r>
            <w:r w:rsidR="00B27DBD">
              <w:rPr>
                <w:rFonts w:cs="Arial"/>
                <w:color w:val="000000"/>
                <w:sz w:val="22"/>
                <w:szCs w:val="22"/>
                <w:lang w:val="en-US"/>
              </w:rPr>
              <w:t xml:space="preserve">focus on </w:t>
            </w:r>
            <w:r>
              <w:rPr>
                <w:rFonts w:cs="Arial"/>
                <w:color w:val="000000"/>
                <w:sz w:val="22"/>
                <w:szCs w:val="22"/>
                <w:lang w:val="en-US"/>
              </w:rPr>
              <w:t>grow</w:t>
            </w:r>
            <w:r w:rsidR="00B27DBD">
              <w:rPr>
                <w:rFonts w:cs="Arial"/>
                <w:color w:val="000000"/>
                <w:sz w:val="22"/>
                <w:szCs w:val="22"/>
                <w:lang w:val="en-US"/>
              </w:rPr>
              <w:t>ing</w:t>
            </w:r>
            <w:r>
              <w:rPr>
                <w:rFonts w:cs="Arial"/>
                <w:color w:val="000000"/>
                <w:sz w:val="22"/>
                <w:szCs w:val="22"/>
                <w:lang w:val="en-US"/>
              </w:rPr>
              <w:t xml:space="preserve"> and diversify</w:t>
            </w:r>
            <w:r w:rsidR="00B27DBD">
              <w:rPr>
                <w:rFonts w:cs="Arial"/>
                <w:color w:val="000000"/>
                <w:sz w:val="22"/>
                <w:szCs w:val="22"/>
                <w:lang w:val="en-US"/>
              </w:rPr>
              <w:t>ing</w:t>
            </w:r>
            <w:r>
              <w:rPr>
                <w:rFonts w:cs="Arial"/>
                <w:color w:val="000000"/>
                <w:sz w:val="22"/>
                <w:szCs w:val="22"/>
                <w:lang w:val="en-US"/>
              </w:rPr>
              <w:t xml:space="preserve"> their membership</w:t>
            </w:r>
            <w:r w:rsidR="00133451">
              <w:rPr>
                <w:rFonts w:cs="Arial"/>
                <w:color w:val="000000"/>
                <w:sz w:val="22"/>
                <w:szCs w:val="22"/>
                <w:lang w:val="en-US"/>
              </w:rPr>
              <w:t>.</w:t>
            </w:r>
          </w:p>
          <w:p w14:paraId="7D5C69ED" w14:textId="1610B0A4" w:rsidR="00B27DBD" w:rsidRDefault="00133451" w:rsidP="00D33E55">
            <w:pPr>
              <w:spacing w:after="120" w:line="288" w:lineRule="auto"/>
              <w:rPr>
                <w:rFonts w:cs="Arial"/>
                <w:color w:val="000000"/>
                <w:sz w:val="22"/>
                <w:szCs w:val="22"/>
                <w:lang w:val="en-US"/>
              </w:rPr>
            </w:pPr>
            <w:r>
              <w:rPr>
                <w:rFonts w:cs="Arial"/>
                <w:color w:val="000000"/>
                <w:sz w:val="22"/>
                <w:szCs w:val="22"/>
                <w:lang w:val="en-US"/>
              </w:rPr>
              <w:t xml:space="preserve">There </w:t>
            </w:r>
            <w:r w:rsidR="00B27DBD">
              <w:rPr>
                <w:rFonts w:cs="Arial"/>
                <w:color w:val="000000"/>
                <w:sz w:val="22"/>
                <w:szCs w:val="22"/>
                <w:lang w:val="en-US"/>
              </w:rPr>
              <w:t>could</w:t>
            </w:r>
            <w:r>
              <w:rPr>
                <w:rFonts w:cs="Arial"/>
                <w:color w:val="000000"/>
                <w:sz w:val="22"/>
                <w:szCs w:val="22"/>
                <w:lang w:val="en-US"/>
              </w:rPr>
              <w:t xml:space="preserve"> be a potential positive impact from the policy</w:t>
            </w:r>
            <w:r w:rsidR="00B27DBD">
              <w:rPr>
                <w:rFonts w:cs="Arial"/>
                <w:color w:val="000000"/>
                <w:sz w:val="22"/>
                <w:szCs w:val="22"/>
                <w:lang w:val="en-US"/>
              </w:rPr>
              <w:t xml:space="preserve"> as it may allow for some non-traditional or newly developed sports, which have a reach into traditionally under-represented groups or wider communities, to access a level of support previously not available. </w:t>
            </w:r>
          </w:p>
          <w:p w14:paraId="5EBE8D45" w14:textId="77777777" w:rsidR="00D33E55" w:rsidRDefault="00D33E55" w:rsidP="00D33E55">
            <w:pPr>
              <w:spacing w:after="120" w:line="288" w:lineRule="auto"/>
              <w:rPr>
                <w:rFonts w:cs="Arial"/>
                <w:b/>
                <w:bCs/>
                <w:color w:val="000000"/>
                <w:sz w:val="22"/>
                <w:szCs w:val="22"/>
                <w:lang w:val="en-US"/>
              </w:rPr>
            </w:pPr>
            <w:r>
              <w:rPr>
                <w:rFonts w:cs="Arial"/>
                <w:b/>
                <w:bCs/>
                <w:color w:val="000000"/>
                <w:sz w:val="22"/>
                <w:szCs w:val="22"/>
                <w:lang w:val="en-US"/>
              </w:rPr>
              <w:t xml:space="preserve">Potential negative impact </w:t>
            </w:r>
          </w:p>
          <w:p w14:paraId="1D77EB02" w14:textId="5555335C" w:rsidR="00D33E55" w:rsidRDefault="0074527E" w:rsidP="0074527E">
            <w:pPr>
              <w:spacing w:after="120" w:line="288" w:lineRule="auto"/>
              <w:rPr>
                <w:rFonts w:cs="Arial"/>
                <w:color w:val="000000"/>
                <w:sz w:val="22"/>
                <w:szCs w:val="22"/>
                <w:lang w:val="en-US"/>
              </w:rPr>
            </w:pPr>
            <w:r>
              <w:rPr>
                <w:rFonts w:cs="Arial"/>
                <w:color w:val="000000"/>
                <w:sz w:val="22"/>
                <w:szCs w:val="22"/>
                <w:lang w:val="en-US"/>
              </w:rPr>
              <w:t xml:space="preserve">The policy will result in direct sportscotland staff time no longer being provided to these sports. As a result, </w:t>
            </w:r>
            <w:r w:rsidRPr="0074527E">
              <w:rPr>
                <w:rFonts w:cs="Arial"/>
                <w:color w:val="000000"/>
                <w:sz w:val="22"/>
                <w:szCs w:val="22"/>
                <w:lang w:val="en-US"/>
              </w:rPr>
              <w:t>EDI focused queries</w:t>
            </w:r>
            <w:r>
              <w:rPr>
                <w:rFonts w:cs="Arial"/>
                <w:color w:val="000000"/>
                <w:sz w:val="22"/>
                <w:szCs w:val="22"/>
                <w:lang w:val="en-US"/>
              </w:rPr>
              <w:t xml:space="preserve"> may not</w:t>
            </w:r>
            <w:r w:rsidR="00133451">
              <w:rPr>
                <w:rFonts w:cs="Arial"/>
                <w:color w:val="000000"/>
                <w:sz w:val="22"/>
                <w:szCs w:val="22"/>
                <w:lang w:val="en-US"/>
              </w:rPr>
              <w:t xml:space="preserve"> get the level of attention required</w:t>
            </w:r>
            <w:r w:rsidRPr="0074527E">
              <w:rPr>
                <w:rFonts w:cs="Arial"/>
                <w:color w:val="000000"/>
                <w:sz w:val="22"/>
                <w:szCs w:val="22"/>
                <w:lang w:val="en-US"/>
              </w:rPr>
              <w:t xml:space="preserve">. However, existing support will still be provided </w:t>
            </w:r>
            <w:r w:rsidR="00133451">
              <w:rPr>
                <w:rFonts w:cs="Arial"/>
                <w:color w:val="000000"/>
                <w:sz w:val="22"/>
                <w:szCs w:val="22"/>
                <w:lang w:val="en-US"/>
              </w:rPr>
              <w:t xml:space="preserve">via the SGB generic support services and through </w:t>
            </w:r>
            <w:r w:rsidRPr="0074527E">
              <w:rPr>
                <w:rFonts w:cs="Arial"/>
                <w:color w:val="000000"/>
                <w:sz w:val="22"/>
                <w:szCs w:val="22"/>
                <w:lang w:val="en-US"/>
              </w:rPr>
              <w:t>the</w:t>
            </w:r>
            <w:r w:rsidR="00133451">
              <w:rPr>
                <w:rFonts w:cs="Arial"/>
                <w:color w:val="000000"/>
                <w:sz w:val="22"/>
                <w:szCs w:val="22"/>
                <w:lang w:val="en-US"/>
              </w:rPr>
              <w:t xml:space="preserve"> refreshed</w:t>
            </w:r>
            <w:r w:rsidRPr="0074527E">
              <w:rPr>
                <w:rFonts w:cs="Arial"/>
                <w:color w:val="000000"/>
                <w:sz w:val="22"/>
                <w:szCs w:val="22"/>
                <w:lang w:val="en-US"/>
              </w:rPr>
              <w:t xml:space="preserve"> equality framework to ensure compliance. </w:t>
            </w:r>
          </w:p>
          <w:p w14:paraId="742946D4" w14:textId="4762D208" w:rsidR="0074527E" w:rsidRPr="0074527E" w:rsidRDefault="00133451" w:rsidP="00D33E55">
            <w:pPr>
              <w:spacing w:after="120" w:line="288" w:lineRule="auto"/>
              <w:rPr>
                <w:rFonts w:cs="Arial"/>
                <w:color w:val="000000"/>
                <w:sz w:val="22"/>
                <w:szCs w:val="22"/>
                <w:lang w:val="en-US"/>
              </w:rPr>
            </w:pPr>
            <w:r>
              <w:rPr>
                <w:rFonts w:cs="Arial"/>
                <w:color w:val="000000"/>
                <w:sz w:val="22"/>
                <w:szCs w:val="22"/>
                <w:lang w:val="en-US"/>
              </w:rPr>
              <w:t>The policy will result in</w:t>
            </w:r>
            <w:r w:rsidR="0074527E">
              <w:rPr>
                <w:rFonts w:cs="Arial"/>
                <w:color w:val="000000"/>
                <w:sz w:val="22"/>
                <w:szCs w:val="22"/>
                <w:lang w:val="en-US"/>
              </w:rPr>
              <w:t xml:space="preserve"> </w:t>
            </w:r>
            <w:r>
              <w:rPr>
                <w:rFonts w:cs="Arial"/>
                <w:color w:val="000000"/>
                <w:sz w:val="22"/>
                <w:szCs w:val="22"/>
                <w:lang w:val="en-US"/>
              </w:rPr>
              <w:t>full</w:t>
            </w:r>
            <w:r w:rsidR="0074527E">
              <w:rPr>
                <w:rFonts w:cs="Arial"/>
                <w:color w:val="000000"/>
                <w:sz w:val="22"/>
                <w:szCs w:val="22"/>
                <w:lang w:val="en-US"/>
              </w:rPr>
              <w:t xml:space="preserve"> equalities membership data </w:t>
            </w:r>
            <w:r>
              <w:rPr>
                <w:rFonts w:cs="Arial"/>
                <w:color w:val="000000"/>
                <w:sz w:val="22"/>
                <w:szCs w:val="22"/>
                <w:lang w:val="en-US"/>
              </w:rPr>
              <w:t xml:space="preserve">no longer being sought </w:t>
            </w:r>
            <w:r w:rsidR="0074527E">
              <w:rPr>
                <w:rFonts w:cs="Arial"/>
                <w:color w:val="000000"/>
                <w:sz w:val="22"/>
                <w:szCs w:val="22"/>
                <w:lang w:val="en-US"/>
              </w:rPr>
              <w:t xml:space="preserve">from the smaller sports. This means it will be </w:t>
            </w:r>
            <w:r>
              <w:rPr>
                <w:rFonts w:cs="Arial"/>
                <w:color w:val="000000"/>
                <w:sz w:val="22"/>
                <w:szCs w:val="22"/>
                <w:lang w:val="en-US"/>
              </w:rPr>
              <w:t xml:space="preserve">unfeasible </w:t>
            </w:r>
            <w:r w:rsidR="0074527E">
              <w:rPr>
                <w:rFonts w:cs="Arial"/>
                <w:color w:val="000000"/>
                <w:sz w:val="22"/>
                <w:szCs w:val="22"/>
                <w:lang w:val="en-US"/>
              </w:rPr>
              <w:t>to monitor their EDI</w:t>
            </w:r>
            <w:r w:rsidR="00B27DBD">
              <w:rPr>
                <w:rFonts w:cs="Arial"/>
                <w:color w:val="000000"/>
                <w:sz w:val="22"/>
                <w:szCs w:val="22"/>
                <w:lang w:val="en-US"/>
              </w:rPr>
              <w:t xml:space="preserve"> reach and</w:t>
            </w:r>
            <w:r w:rsidR="0074527E">
              <w:rPr>
                <w:rFonts w:cs="Arial"/>
                <w:color w:val="000000"/>
                <w:sz w:val="22"/>
                <w:szCs w:val="22"/>
                <w:lang w:val="en-US"/>
              </w:rPr>
              <w:t xml:space="preserve"> impact. However, given these sports are primarily run on a voluntary basis</w:t>
            </w:r>
            <w:r>
              <w:rPr>
                <w:rFonts w:cs="Arial"/>
                <w:color w:val="000000"/>
                <w:sz w:val="22"/>
                <w:szCs w:val="22"/>
                <w:lang w:val="en-US"/>
              </w:rPr>
              <w:t xml:space="preserve"> and would likely be unable to provide this data, it wouldn’t be</w:t>
            </w:r>
            <w:r w:rsidR="0074527E">
              <w:rPr>
                <w:rFonts w:cs="Arial"/>
                <w:color w:val="000000"/>
                <w:sz w:val="22"/>
                <w:szCs w:val="22"/>
                <w:lang w:val="en-US"/>
              </w:rPr>
              <w:t xml:space="preserve"> </w:t>
            </w:r>
            <w:r>
              <w:rPr>
                <w:rFonts w:cs="Arial"/>
                <w:color w:val="000000"/>
                <w:sz w:val="22"/>
                <w:szCs w:val="22"/>
                <w:lang w:val="en-US"/>
              </w:rPr>
              <w:t xml:space="preserve">a </w:t>
            </w:r>
            <w:r w:rsidR="0074527E">
              <w:rPr>
                <w:rFonts w:cs="Arial"/>
                <w:color w:val="000000"/>
                <w:sz w:val="22"/>
                <w:szCs w:val="22"/>
                <w:lang w:val="en-US"/>
              </w:rPr>
              <w:t>proportionate</w:t>
            </w:r>
            <w:r>
              <w:rPr>
                <w:rFonts w:cs="Arial"/>
                <w:color w:val="000000"/>
                <w:sz w:val="22"/>
                <w:szCs w:val="22"/>
                <w:lang w:val="en-US"/>
              </w:rPr>
              <w:t xml:space="preserve"> ask</w:t>
            </w:r>
            <w:r w:rsidR="0074527E">
              <w:rPr>
                <w:rFonts w:cs="Arial"/>
                <w:color w:val="000000"/>
                <w:sz w:val="22"/>
                <w:szCs w:val="22"/>
                <w:lang w:val="en-US"/>
              </w:rPr>
              <w:t xml:space="preserve">. </w:t>
            </w:r>
          </w:p>
        </w:tc>
      </w:tr>
      <w:tr w:rsidR="00D33E55" w:rsidRPr="00613CF8" w14:paraId="66869742" w14:textId="77777777" w:rsidTr="008E0814">
        <w:trPr>
          <w:trHeight w:val="624"/>
        </w:trPr>
        <w:tc>
          <w:tcPr>
            <w:tcW w:w="2972" w:type="dxa"/>
            <w:shd w:val="clear" w:color="auto" w:fill="002060"/>
            <w:vAlign w:val="center"/>
          </w:tcPr>
          <w:p w14:paraId="1A9DAD78" w14:textId="14456F21" w:rsidR="00D33E55" w:rsidRPr="00E96C98" w:rsidRDefault="00D33E55" w:rsidP="00D33E55">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lastRenderedPageBreak/>
              <w:t xml:space="preserve">Age: older people </w:t>
            </w:r>
            <w:r>
              <w:rPr>
                <w:rFonts w:cs="Arial"/>
                <w:b/>
                <w:bCs/>
                <w:color w:val="FFFFFF" w:themeColor="background1"/>
                <w:sz w:val="22"/>
                <w:szCs w:val="22"/>
                <w:lang w:val="en-US"/>
              </w:rPr>
              <w:t>/</w:t>
            </w:r>
            <w:r w:rsidRPr="00E96C98">
              <w:rPr>
                <w:rFonts w:cs="Arial"/>
                <w:b/>
                <w:bCs/>
                <w:color w:val="FFFFFF" w:themeColor="background1"/>
                <w:sz w:val="22"/>
                <w:szCs w:val="22"/>
                <w:lang w:val="en-US"/>
              </w:rPr>
              <w:t xml:space="preserve"> children </w:t>
            </w:r>
            <w:r>
              <w:rPr>
                <w:rFonts w:cs="Arial"/>
                <w:b/>
                <w:bCs/>
                <w:color w:val="FFFFFF" w:themeColor="background1"/>
                <w:sz w:val="22"/>
                <w:szCs w:val="22"/>
                <w:lang w:val="en-US"/>
              </w:rPr>
              <w:t>&amp;</w:t>
            </w:r>
            <w:r w:rsidRPr="00E96C98">
              <w:rPr>
                <w:rFonts w:cs="Arial"/>
                <w:b/>
                <w:bCs/>
                <w:color w:val="FFFFFF" w:themeColor="background1"/>
                <w:sz w:val="22"/>
                <w:szCs w:val="22"/>
                <w:lang w:val="en-US"/>
              </w:rPr>
              <w:t xml:space="preserve"> young people</w:t>
            </w:r>
          </w:p>
        </w:tc>
        <w:tc>
          <w:tcPr>
            <w:tcW w:w="11198" w:type="dxa"/>
            <w:vAlign w:val="center"/>
          </w:tcPr>
          <w:p w14:paraId="2E149436" w14:textId="13ECC7BC" w:rsidR="00CB5F54" w:rsidRPr="00CB5F54" w:rsidRDefault="00CB5F54" w:rsidP="00D33E55">
            <w:pPr>
              <w:spacing w:after="120" w:line="288" w:lineRule="auto"/>
              <w:rPr>
                <w:rFonts w:cs="Arial"/>
                <w:color w:val="000000"/>
                <w:sz w:val="22"/>
                <w:szCs w:val="22"/>
                <w:lang w:val="en-US"/>
              </w:rPr>
            </w:pPr>
            <w:r>
              <w:rPr>
                <w:rFonts w:cs="Arial"/>
                <w:color w:val="000000"/>
                <w:sz w:val="22"/>
                <w:szCs w:val="22"/>
                <w:lang w:val="en-US"/>
              </w:rPr>
              <w:t xml:space="preserve">The seven smaller sports have a predominantly adult membership when compared to the total SGB membership profile. </w:t>
            </w:r>
            <w:r w:rsidRPr="00D33E55">
              <w:rPr>
                <w:rFonts w:cs="Arial"/>
                <w:color w:val="000000"/>
                <w:sz w:val="22"/>
                <w:szCs w:val="22"/>
                <w:lang w:val="en-US"/>
              </w:rPr>
              <w:t xml:space="preserve">We are </w:t>
            </w:r>
            <w:r>
              <w:rPr>
                <w:rFonts w:cs="Arial"/>
                <w:color w:val="000000"/>
                <w:sz w:val="22"/>
                <w:szCs w:val="22"/>
                <w:lang w:val="en-US"/>
              </w:rPr>
              <w:t xml:space="preserve">therefore </w:t>
            </w:r>
            <w:r w:rsidRPr="00D33E55">
              <w:rPr>
                <w:rFonts w:cs="Arial"/>
                <w:color w:val="000000"/>
                <w:sz w:val="22"/>
                <w:szCs w:val="22"/>
                <w:lang w:val="en-US"/>
              </w:rPr>
              <w:t xml:space="preserve">not aware of any published evidence which suggests that </w:t>
            </w:r>
            <w:r w:rsidRPr="002C7612">
              <w:rPr>
                <w:sz w:val="22"/>
                <w:szCs w:val="18"/>
              </w:rPr>
              <w:t xml:space="preserve">the policy outputs </w:t>
            </w:r>
            <w:r w:rsidRPr="00D33E55">
              <w:rPr>
                <w:rFonts w:cs="Arial"/>
                <w:color w:val="000000"/>
                <w:sz w:val="22"/>
                <w:szCs w:val="22"/>
                <w:lang w:val="en-US"/>
              </w:rPr>
              <w:t xml:space="preserve">would impact </w:t>
            </w:r>
            <w:r>
              <w:rPr>
                <w:rFonts w:cs="Arial"/>
                <w:color w:val="000000"/>
                <w:sz w:val="22"/>
                <w:szCs w:val="22"/>
                <w:lang w:val="en-US"/>
              </w:rPr>
              <w:t>people</w:t>
            </w:r>
            <w:r w:rsidRPr="00D33E55">
              <w:rPr>
                <w:rFonts w:cs="Arial"/>
                <w:color w:val="000000"/>
                <w:sz w:val="22"/>
                <w:szCs w:val="22"/>
                <w:lang w:val="en-US"/>
              </w:rPr>
              <w:t xml:space="preserve"> differently due to </w:t>
            </w:r>
            <w:r>
              <w:rPr>
                <w:rFonts w:cs="Arial"/>
                <w:color w:val="000000"/>
                <w:sz w:val="22"/>
                <w:szCs w:val="22"/>
                <w:lang w:val="en-US"/>
              </w:rPr>
              <w:t>their age</w:t>
            </w:r>
            <w:r w:rsidRPr="00D33E55">
              <w:rPr>
                <w:rFonts w:cs="Arial"/>
                <w:color w:val="000000"/>
                <w:sz w:val="22"/>
                <w:szCs w:val="22"/>
                <w:lang w:val="en-US"/>
              </w:rPr>
              <w:t>.</w:t>
            </w:r>
          </w:p>
        </w:tc>
      </w:tr>
      <w:tr w:rsidR="00613CF8" w:rsidRPr="00613CF8" w14:paraId="0F38BBC3" w14:textId="77777777" w:rsidTr="008E0814">
        <w:trPr>
          <w:trHeight w:val="624"/>
        </w:trPr>
        <w:tc>
          <w:tcPr>
            <w:tcW w:w="2972" w:type="dxa"/>
            <w:shd w:val="clear" w:color="auto" w:fill="002060"/>
            <w:vAlign w:val="center"/>
          </w:tcPr>
          <w:p w14:paraId="07E8EEDE" w14:textId="77777777" w:rsidR="00613CF8" w:rsidRPr="00E96C98" w:rsidRDefault="00613CF8"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Disability</w:t>
            </w:r>
          </w:p>
        </w:tc>
        <w:tc>
          <w:tcPr>
            <w:tcW w:w="11198" w:type="dxa"/>
            <w:vAlign w:val="center"/>
          </w:tcPr>
          <w:p w14:paraId="0E207BC4" w14:textId="1B6C091B" w:rsidR="002F49F1" w:rsidRPr="002F49F1" w:rsidRDefault="00D33E55" w:rsidP="002902CB">
            <w:pPr>
              <w:spacing w:after="120" w:line="288" w:lineRule="auto"/>
              <w:rPr>
                <w:rFonts w:cs="Arial"/>
                <w:color w:val="000000"/>
                <w:sz w:val="22"/>
                <w:szCs w:val="22"/>
                <w:lang w:val="en-US"/>
              </w:rPr>
            </w:pPr>
            <w:r w:rsidRPr="00D33E55">
              <w:rPr>
                <w:rFonts w:cs="Arial"/>
                <w:color w:val="000000"/>
                <w:sz w:val="22"/>
                <w:szCs w:val="22"/>
                <w:lang w:val="en-US"/>
              </w:rPr>
              <w:t xml:space="preserve">We are not aware of any published evidence which suggests that </w:t>
            </w:r>
            <w:r w:rsidRPr="002C7612">
              <w:rPr>
                <w:sz w:val="22"/>
                <w:szCs w:val="18"/>
              </w:rPr>
              <w:t xml:space="preserve">the policy outputs </w:t>
            </w:r>
            <w:r w:rsidRPr="00D33E55">
              <w:rPr>
                <w:rFonts w:cs="Arial"/>
                <w:color w:val="000000"/>
                <w:sz w:val="22"/>
                <w:szCs w:val="22"/>
                <w:lang w:val="en-US"/>
              </w:rPr>
              <w:t xml:space="preserve">would impact </w:t>
            </w:r>
            <w:r>
              <w:rPr>
                <w:rFonts w:cs="Arial"/>
                <w:color w:val="000000"/>
                <w:sz w:val="22"/>
                <w:szCs w:val="22"/>
                <w:lang w:val="en-US"/>
              </w:rPr>
              <w:t>people</w:t>
            </w:r>
            <w:r w:rsidRPr="00D33E55">
              <w:rPr>
                <w:rFonts w:cs="Arial"/>
                <w:color w:val="000000"/>
                <w:sz w:val="22"/>
                <w:szCs w:val="22"/>
                <w:lang w:val="en-US"/>
              </w:rPr>
              <w:t xml:space="preserve"> differently due to </w:t>
            </w:r>
            <w:r>
              <w:rPr>
                <w:rFonts w:cs="Arial"/>
                <w:color w:val="000000"/>
                <w:sz w:val="22"/>
                <w:szCs w:val="22"/>
                <w:lang w:val="en-US"/>
              </w:rPr>
              <w:t>their disability</w:t>
            </w:r>
            <w:r w:rsidRPr="00D33E55">
              <w:rPr>
                <w:rFonts w:cs="Arial"/>
                <w:color w:val="000000"/>
                <w:sz w:val="22"/>
                <w:szCs w:val="22"/>
                <w:lang w:val="en-US"/>
              </w:rPr>
              <w:t>.</w:t>
            </w:r>
          </w:p>
        </w:tc>
      </w:tr>
      <w:tr w:rsidR="00613CF8" w:rsidRPr="00613CF8" w14:paraId="3F7633FB" w14:textId="77777777" w:rsidTr="008E0814">
        <w:trPr>
          <w:trHeight w:val="624"/>
        </w:trPr>
        <w:tc>
          <w:tcPr>
            <w:tcW w:w="2972" w:type="dxa"/>
            <w:shd w:val="clear" w:color="auto" w:fill="002060"/>
            <w:vAlign w:val="center"/>
          </w:tcPr>
          <w:p w14:paraId="0E87EC1A" w14:textId="77777777" w:rsidR="00613CF8" w:rsidRPr="00E96C98" w:rsidRDefault="00613CF8"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Gender Reassignment</w:t>
            </w:r>
          </w:p>
        </w:tc>
        <w:tc>
          <w:tcPr>
            <w:tcW w:w="11198" w:type="dxa"/>
            <w:vAlign w:val="center"/>
          </w:tcPr>
          <w:p w14:paraId="0F796722" w14:textId="3ECE4345" w:rsidR="003E6D6F" w:rsidRPr="00613CF8" w:rsidRDefault="00D33E55" w:rsidP="002902CB">
            <w:pPr>
              <w:spacing w:after="120" w:line="288" w:lineRule="auto"/>
              <w:rPr>
                <w:rFonts w:cs="Arial"/>
                <w:b/>
                <w:bCs/>
                <w:color w:val="000000"/>
                <w:sz w:val="22"/>
                <w:szCs w:val="22"/>
                <w:lang w:val="en-US"/>
              </w:rPr>
            </w:pPr>
            <w:r w:rsidRPr="00D33E55">
              <w:rPr>
                <w:rFonts w:cs="Arial"/>
                <w:color w:val="000000"/>
                <w:sz w:val="22"/>
                <w:szCs w:val="22"/>
                <w:lang w:val="en-US"/>
              </w:rPr>
              <w:t xml:space="preserve">We are not aware of any published evidence which suggests that </w:t>
            </w:r>
            <w:r w:rsidRPr="002C7612">
              <w:rPr>
                <w:sz w:val="22"/>
                <w:szCs w:val="18"/>
              </w:rPr>
              <w:t xml:space="preserve">the policy outputs </w:t>
            </w:r>
            <w:r w:rsidRPr="00D33E55">
              <w:rPr>
                <w:rFonts w:cs="Arial"/>
                <w:color w:val="000000"/>
                <w:sz w:val="22"/>
                <w:szCs w:val="22"/>
                <w:lang w:val="en-US"/>
              </w:rPr>
              <w:t xml:space="preserve">would impact </w:t>
            </w:r>
            <w:r>
              <w:rPr>
                <w:rFonts w:cs="Arial"/>
                <w:color w:val="000000"/>
                <w:sz w:val="22"/>
                <w:szCs w:val="22"/>
                <w:lang w:val="en-US"/>
              </w:rPr>
              <w:t>people</w:t>
            </w:r>
            <w:r w:rsidRPr="00D33E55">
              <w:rPr>
                <w:rFonts w:cs="Arial"/>
                <w:color w:val="000000"/>
                <w:sz w:val="22"/>
                <w:szCs w:val="22"/>
                <w:lang w:val="en-US"/>
              </w:rPr>
              <w:t xml:space="preserve"> differently due to</w:t>
            </w:r>
            <w:r>
              <w:rPr>
                <w:rFonts w:cs="Arial"/>
                <w:color w:val="000000"/>
                <w:sz w:val="22"/>
                <w:szCs w:val="22"/>
                <w:lang w:val="en-US"/>
              </w:rPr>
              <w:t xml:space="preserve"> going under, or having under-gone,</w:t>
            </w:r>
            <w:r w:rsidRPr="00D33E55">
              <w:rPr>
                <w:rFonts w:cs="Arial"/>
                <w:color w:val="000000"/>
                <w:sz w:val="22"/>
                <w:szCs w:val="22"/>
                <w:lang w:val="en-US"/>
              </w:rPr>
              <w:t xml:space="preserve"> </w:t>
            </w:r>
            <w:r>
              <w:rPr>
                <w:rFonts w:cs="Arial"/>
                <w:color w:val="000000"/>
                <w:sz w:val="22"/>
                <w:szCs w:val="22"/>
                <w:lang w:val="en-US"/>
              </w:rPr>
              <w:t>gender reassignment</w:t>
            </w:r>
            <w:r w:rsidRPr="00D33E55">
              <w:rPr>
                <w:rFonts w:cs="Arial"/>
                <w:color w:val="000000"/>
                <w:sz w:val="22"/>
                <w:szCs w:val="22"/>
                <w:lang w:val="en-US"/>
              </w:rPr>
              <w:t>.</w:t>
            </w:r>
          </w:p>
        </w:tc>
      </w:tr>
      <w:tr w:rsidR="00613CF8" w:rsidRPr="00613CF8" w14:paraId="11BA060A" w14:textId="77777777" w:rsidTr="008E0814">
        <w:trPr>
          <w:trHeight w:val="624"/>
        </w:trPr>
        <w:tc>
          <w:tcPr>
            <w:tcW w:w="2972" w:type="dxa"/>
            <w:shd w:val="clear" w:color="auto" w:fill="002060"/>
            <w:vAlign w:val="center"/>
          </w:tcPr>
          <w:p w14:paraId="34B4F99A" w14:textId="77777777" w:rsidR="00613CF8" w:rsidRPr="00E96C98" w:rsidRDefault="00613CF8"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Marriage and civil partnerships</w:t>
            </w:r>
          </w:p>
        </w:tc>
        <w:tc>
          <w:tcPr>
            <w:tcW w:w="11198" w:type="dxa"/>
            <w:vAlign w:val="center"/>
          </w:tcPr>
          <w:p w14:paraId="1DD8657C" w14:textId="196FB6DF" w:rsidR="00613CF8" w:rsidRPr="00613CF8" w:rsidRDefault="0041582B" w:rsidP="002902CB">
            <w:pPr>
              <w:spacing w:after="120" w:line="288" w:lineRule="auto"/>
              <w:rPr>
                <w:rFonts w:cs="Arial"/>
                <w:color w:val="000000"/>
                <w:sz w:val="22"/>
                <w:szCs w:val="22"/>
                <w:lang w:val="en-US"/>
              </w:rPr>
            </w:pPr>
            <w:r w:rsidRPr="00610C1B">
              <w:rPr>
                <w:sz w:val="22"/>
                <w:szCs w:val="18"/>
              </w:rPr>
              <w:t>This characteristic is out of scope for this EQIA because the policy outputs are not related to employment.</w:t>
            </w:r>
          </w:p>
        </w:tc>
      </w:tr>
      <w:tr w:rsidR="00613CF8" w:rsidRPr="00613CF8" w14:paraId="11FA1D15" w14:textId="77777777" w:rsidTr="008E0814">
        <w:trPr>
          <w:trHeight w:val="624"/>
        </w:trPr>
        <w:tc>
          <w:tcPr>
            <w:tcW w:w="2972" w:type="dxa"/>
            <w:shd w:val="clear" w:color="auto" w:fill="002060"/>
            <w:vAlign w:val="center"/>
          </w:tcPr>
          <w:p w14:paraId="288665C2" w14:textId="77777777" w:rsidR="00613CF8" w:rsidRPr="00E96C98" w:rsidRDefault="00613CF8"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Pregnancy and Maternity</w:t>
            </w:r>
          </w:p>
        </w:tc>
        <w:tc>
          <w:tcPr>
            <w:tcW w:w="11198" w:type="dxa"/>
            <w:vAlign w:val="center"/>
          </w:tcPr>
          <w:p w14:paraId="46FA78D3" w14:textId="0BA64AF4" w:rsidR="00613CF8" w:rsidRPr="00610C1B" w:rsidRDefault="00610C1B" w:rsidP="002902CB">
            <w:pPr>
              <w:spacing w:after="120" w:line="288" w:lineRule="auto"/>
              <w:rPr>
                <w:sz w:val="22"/>
                <w:szCs w:val="18"/>
              </w:rPr>
            </w:pPr>
            <w:r w:rsidRPr="002C7612">
              <w:rPr>
                <w:sz w:val="22"/>
                <w:szCs w:val="18"/>
              </w:rPr>
              <w:t>This characteristic is out of scope for this EQIA because the policy outputs are not related to employment.</w:t>
            </w:r>
          </w:p>
        </w:tc>
      </w:tr>
      <w:tr w:rsidR="00613CF8" w:rsidRPr="00613CF8" w14:paraId="36E0A020" w14:textId="77777777" w:rsidTr="008E0814">
        <w:trPr>
          <w:trHeight w:val="624"/>
        </w:trPr>
        <w:tc>
          <w:tcPr>
            <w:tcW w:w="2972" w:type="dxa"/>
            <w:shd w:val="clear" w:color="auto" w:fill="002060"/>
            <w:vAlign w:val="center"/>
          </w:tcPr>
          <w:p w14:paraId="433A6DB8" w14:textId="77777777" w:rsidR="00613CF8" w:rsidRPr="00E96C98" w:rsidRDefault="00613CF8"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Race</w:t>
            </w:r>
          </w:p>
        </w:tc>
        <w:tc>
          <w:tcPr>
            <w:tcW w:w="11198" w:type="dxa"/>
            <w:vAlign w:val="center"/>
          </w:tcPr>
          <w:p w14:paraId="33900370" w14:textId="2966BDE7" w:rsidR="00613CF8" w:rsidRPr="00613CF8" w:rsidRDefault="00D33E55" w:rsidP="002902CB">
            <w:pPr>
              <w:spacing w:after="120" w:line="288" w:lineRule="auto"/>
              <w:rPr>
                <w:rFonts w:cs="Arial"/>
                <w:b/>
                <w:bCs/>
                <w:color w:val="000000"/>
                <w:sz w:val="22"/>
                <w:szCs w:val="22"/>
                <w:lang w:val="en-US"/>
              </w:rPr>
            </w:pPr>
            <w:r w:rsidRPr="00D33E55">
              <w:rPr>
                <w:rFonts w:cs="Arial"/>
                <w:color w:val="000000"/>
                <w:sz w:val="22"/>
                <w:szCs w:val="22"/>
                <w:lang w:val="en-US"/>
              </w:rPr>
              <w:t xml:space="preserve">We are not aware of any published evidence which suggests that </w:t>
            </w:r>
            <w:r w:rsidRPr="002C7612">
              <w:rPr>
                <w:sz w:val="22"/>
                <w:szCs w:val="18"/>
              </w:rPr>
              <w:t xml:space="preserve">the policy outputs </w:t>
            </w:r>
            <w:r w:rsidRPr="00D33E55">
              <w:rPr>
                <w:rFonts w:cs="Arial"/>
                <w:color w:val="000000"/>
                <w:sz w:val="22"/>
                <w:szCs w:val="22"/>
                <w:lang w:val="en-US"/>
              </w:rPr>
              <w:t xml:space="preserve">would impact </w:t>
            </w:r>
            <w:r>
              <w:rPr>
                <w:rFonts w:cs="Arial"/>
                <w:color w:val="000000"/>
                <w:sz w:val="22"/>
                <w:szCs w:val="22"/>
                <w:lang w:val="en-US"/>
              </w:rPr>
              <w:t>people</w:t>
            </w:r>
            <w:r w:rsidRPr="00D33E55">
              <w:rPr>
                <w:rFonts w:cs="Arial"/>
                <w:color w:val="000000"/>
                <w:sz w:val="22"/>
                <w:szCs w:val="22"/>
                <w:lang w:val="en-US"/>
              </w:rPr>
              <w:t xml:space="preserve"> differently due to </w:t>
            </w:r>
            <w:r>
              <w:rPr>
                <w:rFonts w:cs="Arial"/>
                <w:color w:val="000000"/>
                <w:sz w:val="22"/>
                <w:szCs w:val="22"/>
                <w:lang w:val="en-US"/>
              </w:rPr>
              <w:t>their race or ethnicity</w:t>
            </w:r>
            <w:r w:rsidRPr="00D33E55">
              <w:rPr>
                <w:rFonts w:cs="Arial"/>
                <w:color w:val="000000"/>
                <w:sz w:val="22"/>
                <w:szCs w:val="22"/>
                <w:lang w:val="en-US"/>
              </w:rPr>
              <w:t>.</w:t>
            </w:r>
          </w:p>
        </w:tc>
      </w:tr>
      <w:tr w:rsidR="00613CF8" w:rsidRPr="00613CF8" w14:paraId="59B91E7F" w14:textId="77777777" w:rsidTr="008E0814">
        <w:trPr>
          <w:trHeight w:val="624"/>
        </w:trPr>
        <w:tc>
          <w:tcPr>
            <w:tcW w:w="2972" w:type="dxa"/>
            <w:shd w:val="clear" w:color="auto" w:fill="002060"/>
            <w:vAlign w:val="center"/>
          </w:tcPr>
          <w:p w14:paraId="626BCD8E" w14:textId="77777777" w:rsidR="00613CF8" w:rsidRPr="00E96C98" w:rsidRDefault="00613CF8"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lastRenderedPageBreak/>
              <w:t>Religion and Belief</w:t>
            </w:r>
          </w:p>
        </w:tc>
        <w:tc>
          <w:tcPr>
            <w:tcW w:w="11198" w:type="dxa"/>
            <w:vAlign w:val="center"/>
          </w:tcPr>
          <w:p w14:paraId="5CB9A9EF" w14:textId="6040102A" w:rsidR="00613CF8" w:rsidRPr="00613CF8" w:rsidRDefault="00D33E55" w:rsidP="002902CB">
            <w:pPr>
              <w:spacing w:after="120" w:line="288" w:lineRule="auto"/>
              <w:rPr>
                <w:rFonts w:cs="Arial"/>
                <w:b/>
                <w:bCs/>
                <w:color w:val="000000"/>
                <w:sz w:val="22"/>
                <w:szCs w:val="22"/>
                <w:lang w:val="en-US"/>
              </w:rPr>
            </w:pPr>
            <w:r w:rsidRPr="00D33E55">
              <w:rPr>
                <w:rFonts w:cs="Arial"/>
                <w:color w:val="000000"/>
                <w:sz w:val="22"/>
                <w:szCs w:val="22"/>
                <w:lang w:val="en-US"/>
              </w:rPr>
              <w:t xml:space="preserve">We are not aware of any published evidence which suggests that </w:t>
            </w:r>
            <w:r w:rsidRPr="002C7612">
              <w:rPr>
                <w:sz w:val="22"/>
                <w:szCs w:val="18"/>
              </w:rPr>
              <w:t xml:space="preserve">the policy outputs </w:t>
            </w:r>
            <w:r w:rsidRPr="00D33E55">
              <w:rPr>
                <w:rFonts w:cs="Arial"/>
                <w:color w:val="000000"/>
                <w:sz w:val="22"/>
                <w:szCs w:val="22"/>
                <w:lang w:val="en-US"/>
              </w:rPr>
              <w:t xml:space="preserve">would impact </w:t>
            </w:r>
            <w:r>
              <w:rPr>
                <w:rFonts w:cs="Arial"/>
                <w:color w:val="000000"/>
                <w:sz w:val="22"/>
                <w:szCs w:val="22"/>
                <w:lang w:val="en-US"/>
              </w:rPr>
              <w:t>people</w:t>
            </w:r>
            <w:r w:rsidRPr="00D33E55">
              <w:rPr>
                <w:rFonts w:cs="Arial"/>
                <w:color w:val="000000"/>
                <w:sz w:val="22"/>
                <w:szCs w:val="22"/>
                <w:lang w:val="en-US"/>
              </w:rPr>
              <w:t xml:space="preserve"> differently due to </w:t>
            </w:r>
            <w:r>
              <w:rPr>
                <w:rFonts w:cs="Arial"/>
                <w:color w:val="000000"/>
                <w:sz w:val="22"/>
                <w:szCs w:val="22"/>
                <w:lang w:val="en-US"/>
              </w:rPr>
              <w:t>their religion or belief</w:t>
            </w:r>
            <w:r w:rsidRPr="00D33E55">
              <w:rPr>
                <w:rFonts w:cs="Arial"/>
                <w:color w:val="000000"/>
                <w:sz w:val="22"/>
                <w:szCs w:val="22"/>
                <w:lang w:val="en-US"/>
              </w:rPr>
              <w:t>.</w:t>
            </w:r>
          </w:p>
        </w:tc>
      </w:tr>
      <w:tr w:rsidR="00613CF8" w:rsidRPr="00613CF8" w14:paraId="192B6212" w14:textId="77777777" w:rsidTr="008E0814">
        <w:trPr>
          <w:trHeight w:val="624"/>
        </w:trPr>
        <w:tc>
          <w:tcPr>
            <w:tcW w:w="2972" w:type="dxa"/>
            <w:shd w:val="clear" w:color="auto" w:fill="002060"/>
            <w:vAlign w:val="center"/>
          </w:tcPr>
          <w:p w14:paraId="2DD3E4D3" w14:textId="77777777" w:rsidR="00613CF8" w:rsidRPr="00E96C98" w:rsidRDefault="00613CF8"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 xml:space="preserve">Sex: women and Men </w:t>
            </w:r>
          </w:p>
        </w:tc>
        <w:tc>
          <w:tcPr>
            <w:tcW w:w="11198" w:type="dxa"/>
            <w:vAlign w:val="center"/>
          </w:tcPr>
          <w:p w14:paraId="34FE41B4" w14:textId="4CDF989D" w:rsidR="00CB5F54" w:rsidRPr="00CB5F54" w:rsidRDefault="00CB5F54" w:rsidP="002902CB">
            <w:pPr>
              <w:spacing w:after="120" w:line="288" w:lineRule="auto"/>
              <w:rPr>
                <w:rFonts w:cs="Arial"/>
                <w:color w:val="000000"/>
                <w:sz w:val="22"/>
                <w:szCs w:val="22"/>
                <w:lang w:val="en-US"/>
              </w:rPr>
            </w:pPr>
            <w:r>
              <w:rPr>
                <w:rFonts w:cs="Arial"/>
                <w:color w:val="000000"/>
                <w:sz w:val="22"/>
                <w:szCs w:val="22"/>
                <w:lang w:val="en-US"/>
              </w:rPr>
              <w:t xml:space="preserve">The seven smaller sports have a more equal male / female membership when compared to the total SGB membership profile. However, the total membership is relatively low (around 500 for each sport). </w:t>
            </w:r>
            <w:r w:rsidRPr="00D33E55">
              <w:rPr>
                <w:rFonts w:cs="Arial"/>
                <w:color w:val="000000"/>
                <w:sz w:val="22"/>
                <w:szCs w:val="22"/>
                <w:lang w:val="en-US"/>
              </w:rPr>
              <w:t xml:space="preserve">We are </w:t>
            </w:r>
            <w:r>
              <w:rPr>
                <w:rFonts w:cs="Arial"/>
                <w:color w:val="000000"/>
                <w:sz w:val="22"/>
                <w:szCs w:val="22"/>
                <w:lang w:val="en-US"/>
              </w:rPr>
              <w:t xml:space="preserve">therefore </w:t>
            </w:r>
            <w:r w:rsidRPr="00D33E55">
              <w:rPr>
                <w:rFonts w:cs="Arial"/>
                <w:color w:val="000000"/>
                <w:sz w:val="22"/>
                <w:szCs w:val="22"/>
                <w:lang w:val="en-US"/>
              </w:rPr>
              <w:t xml:space="preserve">not aware of any published evidence which suggests that </w:t>
            </w:r>
            <w:r w:rsidRPr="002C7612">
              <w:rPr>
                <w:sz w:val="22"/>
                <w:szCs w:val="18"/>
              </w:rPr>
              <w:t xml:space="preserve">the policy outputs </w:t>
            </w:r>
            <w:r w:rsidRPr="00D33E55">
              <w:rPr>
                <w:rFonts w:cs="Arial"/>
                <w:color w:val="000000"/>
                <w:sz w:val="22"/>
                <w:szCs w:val="22"/>
                <w:lang w:val="en-US"/>
              </w:rPr>
              <w:t xml:space="preserve">would impact </w:t>
            </w:r>
            <w:r>
              <w:rPr>
                <w:rFonts w:cs="Arial"/>
                <w:color w:val="000000"/>
                <w:sz w:val="22"/>
                <w:szCs w:val="22"/>
                <w:lang w:val="en-US"/>
              </w:rPr>
              <w:t>people</w:t>
            </w:r>
            <w:r w:rsidRPr="00D33E55">
              <w:rPr>
                <w:rFonts w:cs="Arial"/>
                <w:color w:val="000000"/>
                <w:sz w:val="22"/>
                <w:szCs w:val="22"/>
                <w:lang w:val="en-US"/>
              </w:rPr>
              <w:t xml:space="preserve"> differently due to </w:t>
            </w:r>
            <w:r>
              <w:rPr>
                <w:rFonts w:cs="Arial"/>
                <w:color w:val="000000"/>
                <w:sz w:val="22"/>
                <w:szCs w:val="22"/>
                <w:lang w:val="en-US"/>
              </w:rPr>
              <w:t>their sex</w:t>
            </w:r>
            <w:r w:rsidRPr="00D33E55">
              <w:rPr>
                <w:rFonts w:cs="Arial"/>
                <w:color w:val="000000"/>
                <w:sz w:val="22"/>
                <w:szCs w:val="22"/>
                <w:lang w:val="en-US"/>
              </w:rPr>
              <w:t>.</w:t>
            </w:r>
          </w:p>
        </w:tc>
      </w:tr>
      <w:tr w:rsidR="00613CF8" w:rsidRPr="00613CF8" w14:paraId="18FE4E6F" w14:textId="77777777" w:rsidTr="008E0814">
        <w:trPr>
          <w:trHeight w:val="624"/>
        </w:trPr>
        <w:tc>
          <w:tcPr>
            <w:tcW w:w="2972" w:type="dxa"/>
            <w:shd w:val="clear" w:color="auto" w:fill="002060"/>
            <w:vAlign w:val="center"/>
          </w:tcPr>
          <w:p w14:paraId="305E118D" w14:textId="77777777" w:rsidR="00613CF8" w:rsidRPr="00E96C98" w:rsidRDefault="00613CF8"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 xml:space="preserve">Sexual Orientation </w:t>
            </w:r>
          </w:p>
        </w:tc>
        <w:tc>
          <w:tcPr>
            <w:tcW w:w="11198" w:type="dxa"/>
            <w:vAlign w:val="center"/>
          </w:tcPr>
          <w:p w14:paraId="23D40CDD" w14:textId="168DD89B" w:rsidR="00613CF8" w:rsidRPr="00613CF8" w:rsidRDefault="00D33E55" w:rsidP="002902CB">
            <w:pPr>
              <w:spacing w:after="120" w:line="288" w:lineRule="auto"/>
              <w:rPr>
                <w:rFonts w:cs="Arial"/>
                <w:b/>
                <w:bCs/>
                <w:color w:val="000000"/>
                <w:sz w:val="22"/>
                <w:szCs w:val="22"/>
                <w:lang w:val="en-US"/>
              </w:rPr>
            </w:pPr>
            <w:r w:rsidRPr="00D33E55">
              <w:rPr>
                <w:rFonts w:cs="Arial"/>
                <w:color w:val="000000"/>
                <w:sz w:val="22"/>
                <w:szCs w:val="22"/>
                <w:lang w:val="en-US"/>
              </w:rPr>
              <w:t xml:space="preserve">We are not aware of any published evidence which suggests that </w:t>
            </w:r>
            <w:r w:rsidRPr="002C7612">
              <w:rPr>
                <w:sz w:val="22"/>
                <w:szCs w:val="18"/>
              </w:rPr>
              <w:t xml:space="preserve">the policy outputs </w:t>
            </w:r>
            <w:r w:rsidRPr="00D33E55">
              <w:rPr>
                <w:rFonts w:cs="Arial"/>
                <w:color w:val="000000"/>
                <w:sz w:val="22"/>
                <w:szCs w:val="22"/>
                <w:lang w:val="en-US"/>
              </w:rPr>
              <w:t xml:space="preserve">would impact </w:t>
            </w:r>
            <w:r>
              <w:rPr>
                <w:rFonts w:cs="Arial"/>
                <w:color w:val="000000"/>
                <w:sz w:val="22"/>
                <w:szCs w:val="22"/>
                <w:lang w:val="en-US"/>
              </w:rPr>
              <w:t>people</w:t>
            </w:r>
            <w:r w:rsidRPr="00D33E55">
              <w:rPr>
                <w:rFonts w:cs="Arial"/>
                <w:color w:val="000000"/>
                <w:sz w:val="22"/>
                <w:szCs w:val="22"/>
                <w:lang w:val="en-US"/>
              </w:rPr>
              <w:t xml:space="preserve"> differently due to </w:t>
            </w:r>
            <w:r>
              <w:rPr>
                <w:rFonts w:cs="Arial"/>
                <w:color w:val="000000"/>
                <w:sz w:val="22"/>
                <w:szCs w:val="22"/>
                <w:lang w:val="en-US"/>
              </w:rPr>
              <w:t>their sexual orientation</w:t>
            </w:r>
            <w:r w:rsidRPr="00D33E55">
              <w:rPr>
                <w:rFonts w:cs="Arial"/>
                <w:color w:val="000000"/>
                <w:sz w:val="22"/>
                <w:szCs w:val="22"/>
                <w:lang w:val="en-US"/>
              </w:rPr>
              <w:t>.</w:t>
            </w:r>
          </w:p>
        </w:tc>
      </w:tr>
      <w:tr w:rsidR="00613CF8" w:rsidRPr="00613CF8" w14:paraId="609610E3" w14:textId="77777777" w:rsidTr="008E0814">
        <w:trPr>
          <w:trHeight w:val="624"/>
        </w:trPr>
        <w:tc>
          <w:tcPr>
            <w:tcW w:w="2972" w:type="dxa"/>
            <w:shd w:val="clear" w:color="auto" w:fill="002060"/>
            <w:vAlign w:val="center"/>
          </w:tcPr>
          <w:p w14:paraId="6F13AB20" w14:textId="77777777" w:rsidR="00613CF8" w:rsidRPr="00E96C98" w:rsidRDefault="00613CF8" w:rsidP="002902CB">
            <w:pPr>
              <w:spacing w:after="120" w:line="288" w:lineRule="auto"/>
              <w:rPr>
                <w:rFonts w:cs="Arial"/>
                <w:b/>
                <w:bCs/>
                <w:color w:val="FFFFFF" w:themeColor="background1"/>
                <w:sz w:val="22"/>
                <w:szCs w:val="22"/>
                <w:lang w:val="en-US"/>
              </w:rPr>
            </w:pPr>
            <w:r w:rsidRPr="00E96C98">
              <w:rPr>
                <w:rFonts w:cs="Arial"/>
                <w:b/>
                <w:bCs/>
                <w:color w:val="FFFFFF" w:themeColor="background1"/>
                <w:sz w:val="22"/>
                <w:szCs w:val="22"/>
                <w:lang w:val="en-US"/>
              </w:rPr>
              <w:t>Socio-economic disadvantage: any people experiencing poverty</w:t>
            </w:r>
          </w:p>
        </w:tc>
        <w:tc>
          <w:tcPr>
            <w:tcW w:w="11198" w:type="dxa"/>
            <w:vAlign w:val="center"/>
          </w:tcPr>
          <w:p w14:paraId="6098CA4F" w14:textId="1E3B7CFD" w:rsidR="00613CF8" w:rsidRPr="00613CF8" w:rsidRDefault="00D33E55" w:rsidP="002902CB">
            <w:pPr>
              <w:spacing w:after="120" w:line="288" w:lineRule="auto"/>
              <w:rPr>
                <w:rFonts w:cs="Arial"/>
                <w:b/>
                <w:bCs/>
                <w:color w:val="000000"/>
                <w:sz w:val="22"/>
                <w:szCs w:val="22"/>
                <w:lang w:val="en-US"/>
              </w:rPr>
            </w:pPr>
            <w:r w:rsidRPr="00D33E55">
              <w:rPr>
                <w:rFonts w:cs="Arial"/>
                <w:color w:val="000000"/>
                <w:sz w:val="22"/>
                <w:szCs w:val="22"/>
                <w:lang w:val="en-US"/>
              </w:rPr>
              <w:t xml:space="preserve">We are not aware of any published evidence which suggests that </w:t>
            </w:r>
            <w:r w:rsidRPr="002C7612">
              <w:rPr>
                <w:sz w:val="22"/>
                <w:szCs w:val="18"/>
              </w:rPr>
              <w:t xml:space="preserve">the policy outputs </w:t>
            </w:r>
            <w:r w:rsidRPr="00D33E55">
              <w:rPr>
                <w:rFonts w:cs="Arial"/>
                <w:color w:val="000000"/>
                <w:sz w:val="22"/>
                <w:szCs w:val="22"/>
                <w:lang w:val="en-US"/>
              </w:rPr>
              <w:t xml:space="preserve">would impact </w:t>
            </w:r>
            <w:r>
              <w:rPr>
                <w:rFonts w:cs="Arial"/>
                <w:color w:val="000000"/>
                <w:sz w:val="22"/>
                <w:szCs w:val="22"/>
                <w:lang w:val="en-US"/>
              </w:rPr>
              <w:t>people</w:t>
            </w:r>
            <w:r w:rsidRPr="00D33E55">
              <w:rPr>
                <w:rFonts w:cs="Arial"/>
                <w:color w:val="000000"/>
                <w:sz w:val="22"/>
                <w:szCs w:val="22"/>
                <w:lang w:val="en-US"/>
              </w:rPr>
              <w:t xml:space="preserve"> differently due to </w:t>
            </w:r>
            <w:r>
              <w:rPr>
                <w:rFonts w:cs="Arial"/>
                <w:color w:val="000000"/>
                <w:sz w:val="22"/>
                <w:szCs w:val="22"/>
                <w:lang w:val="en-US"/>
              </w:rPr>
              <w:t>experiencing poverty</w:t>
            </w:r>
            <w:r w:rsidRPr="00D33E55">
              <w:rPr>
                <w:rFonts w:cs="Arial"/>
                <w:color w:val="000000"/>
                <w:sz w:val="22"/>
                <w:szCs w:val="22"/>
                <w:lang w:val="en-US"/>
              </w:rPr>
              <w:t>.</w:t>
            </w:r>
          </w:p>
        </w:tc>
      </w:tr>
      <w:tr w:rsidR="00E96C98" w:rsidRPr="00613CF8" w14:paraId="23DCA290" w14:textId="77777777" w:rsidTr="008E0814">
        <w:trPr>
          <w:trHeight w:val="624"/>
        </w:trPr>
        <w:tc>
          <w:tcPr>
            <w:tcW w:w="2972" w:type="dxa"/>
            <w:shd w:val="clear" w:color="auto" w:fill="002060"/>
            <w:vAlign w:val="center"/>
          </w:tcPr>
          <w:p w14:paraId="77CD14F0" w14:textId="0984B3E7" w:rsidR="00E96C98" w:rsidRPr="00E96C98" w:rsidRDefault="00E96C98" w:rsidP="002902CB">
            <w:pPr>
              <w:spacing w:after="120" w:line="288" w:lineRule="auto"/>
              <w:rPr>
                <w:rFonts w:cs="Arial"/>
                <w:b/>
                <w:bCs/>
                <w:color w:val="FFFFFF" w:themeColor="background1"/>
                <w:sz w:val="22"/>
                <w:szCs w:val="22"/>
                <w:lang w:val="en-US"/>
              </w:rPr>
            </w:pPr>
            <w:r>
              <w:rPr>
                <w:rFonts w:cs="Arial"/>
                <w:b/>
                <w:bCs/>
                <w:color w:val="FFFFFF" w:themeColor="background1"/>
                <w:sz w:val="22"/>
                <w:szCs w:val="22"/>
                <w:lang w:val="en-US"/>
              </w:rPr>
              <w:t>Care-experienced young people</w:t>
            </w:r>
          </w:p>
        </w:tc>
        <w:tc>
          <w:tcPr>
            <w:tcW w:w="11198" w:type="dxa"/>
            <w:vAlign w:val="center"/>
          </w:tcPr>
          <w:p w14:paraId="11A9382C" w14:textId="1475246D" w:rsidR="00E96C98" w:rsidRPr="00D33E55" w:rsidRDefault="00D33E55" w:rsidP="002902CB">
            <w:pPr>
              <w:spacing w:after="120" w:line="288" w:lineRule="auto"/>
              <w:rPr>
                <w:rFonts w:cs="Arial"/>
                <w:color w:val="000000"/>
                <w:sz w:val="22"/>
                <w:szCs w:val="22"/>
                <w:lang w:val="en-US"/>
              </w:rPr>
            </w:pPr>
            <w:r w:rsidRPr="00D33E55">
              <w:rPr>
                <w:rFonts w:cs="Arial"/>
                <w:color w:val="000000"/>
                <w:sz w:val="22"/>
                <w:szCs w:val="22"/>
                <w:lang w:val="en-US"/>
              </w:rPr>
              <w:t xml:space="preserve">We are not aware of any published evidence which suggests that </w:t>
            </w:r>
            <w:r w:rsidRPr="002C7612">
              <w:rPr>
                <w:sz w:val="22"/>
                <w:szCs w:val="18"/>
              </w:rPr>
              <w:t xml:space="preserve">the policy outputs </w:t>
            </w:r>
            <w:r w:rsidRPr="00D33E55">
              <w:rPr>
                <w:rFonts w:cs="Arial"/>
                <w:color w:val="000000"/>
                <w:sz w:val="22"/>
                <w:szCs w:val="22"/>
                <w:lang w:val="en-US"/>
              </w:rPr>
              <w:t xml:space="preserve">would impact </w:t>
            </w:r>
            <w:r>
              <w:rPr>
                <w:rFonts w:cs="Arial"/>
                <w:color w:val="000000"/>
                <w:sz w:val="22"/>
                <w:szCs w:val="22"/>
                <w:lang w:val="en-US"/>
              </w:rPr>
              <w:t>people</w:t>
            </w:r>
            <w:r w:rsidRPr="00D33E55">
              <w:rPr>
                <w:rFonts w:cs="Arial"/>
                <w:color w:val="000000"/>
                <w:sz w:val="22"/>
                <w:szCs w:val="22"/>
                <w:lang w:val="en-US"/>
              </w:rPr>
              <w:t xml:space="preserve"> differently due to </w:t>
            </w:r>
            <w:r>
              <w:rPr>
                <w:rFonts w:cs="Arial"/>
                <w:color w:val="000000"/>
                <w:sz w:val="22"/>
                <w:szCs w:val="22"/>
                <w:lang w:val="en-US"/>
              </w:rPr>
              <w:t>being care-experienced</w:t>
            </w:r>
            <w:r w:rsidRPr="00D33E55">
              <w:rPr>
                <w:rFonts w:cs="Arial"/>
                <w:color w:val="000000"/>
                <w:sz w:val="22"/>
                <w:szCs w:val="22"/>
                <w:lang w:val="en-US"/>
              </w:rPr>
              <w:t>.</w:t>
            </w:r>
          </w:p>
        </w:tc>
      </w:tr>
    </w:tbl>
    <w:p w14:paraId="7812CCA6" w14:textId="77777777" w:rsidR="00613CF8" w:rsidRPr="00613CF8" w:rsidRDefault="00613CF8" w:rsidP="00613CF8">
      <w:pPr>
        <w:spacing w:before="480" w:after="120" w:line="240" w:lineRule="atLeast"/>
        <w:outlineLvl w:val="0"/>
        <w:rPr>
          <w:b/>
          <w:sz w:val="32"/>
          <w:szCs w:val="28"/>
          <w:lang w:val="en-US"/>
        </w:rPr>
      </w:pPr>
      <w:r w:rsidRPr="00613CF8">
        <w:rPr>
          <w:b/>
          <w:sz w:val="32"/>
          <w:szCs w:val="28"/>
          <w:lang w:val="en-US"/>
        </w:rPr>
        <w:t>Section 5 – Stakeholder engagement</w:t>
      </w:r>
    </w:p>
    <w:p w14:paraId="6EC683E8" w14:textId="13DE07E5" w:rsidR="00613CF8" w:rsidRPr="00F0347C" w:rsidRDefault="00613CF8" w:rsidP="002902CB">
      <w:pPr>
        <w:spacing w:after="120" w:line="288" w:lineRule="auto"/>
        <w:jc w:val="both"/>
        <w:rPr>
          <w:sz w:val="22"/>
          <w:szCs w:val="22"/>
          <w:lang w:val="en-US"/>
        </w:rPr>
      </w:pPr>
      <w:r w:rsidRPr="00F0347C">
        <w:rPr>
          <w:sz w:val="22"/>
          <w:szCs w:val="22"/>
          <w:lang w:val="en-US"/>
        </w:rPr>
        <w:t>Include a brief summary of the stakeholders you have engaged with that have helped you understand the perspective of people who share protected characteristics</w:t>
      </w:r>
      <w:r w:rsidR="008344F1" w:rsidRPr="00F0347C">
        <w:rPr>
          <w:sz w:val="22"/>
          <w:szCs w:val="22"/>
          <w:lang w:val="en-US"/>
        </w:rPr>
        <w:t xml:space="preserve"> or people in poverty</w:t>
      </w:r>
      <w:r w:rsidRPr="00F0347C">
        <w:rPr>
          <w:sz w:val="22"/>
          <w:szCs w:val="22"/>
          <w:lang w:val="en-US"/>
        </w:rPr>
        <w:t>. Think mainly about the target audience for your project. What did you learn?</w:t>
      </w:r>
      <w:r w:rsidR="002902CB" w:rsidRPr="00F0347C">
        <w:rPr>
          <w:sz w:val="22"/>
          <w:szCs w:val="22"/>
          <w:lang w:val="en-US"/>
        </w:rPr>
        <w:t xml:space="preserve"> </w:t>
      </w:r>
      <w:r w:rsidR="00F0347C" w:rsidRPr="00F0347C">
        <w:rPr>
          <w:sz w:val="22"/>
          <w:szCs w:val="22"/>
        </w:rPr>
        <w:t xml:space="preserve">Are there any experts or local groups that you can contact to get more information? </w:t>
      </w:r>
      <w:r w:rsidRPr="00F0347C">
        <w:rPr>
          <w:sz w:val="22"/>
          <w:szCs w:val="22"/>
          <w:lang w:val="en-US"/>
        </w:rPr>
        <w:t xml:space="preserve">Include recent engagement but also past or future planned engagement where it is relevant.  </w:t>
      </w:r>
    </w:p>
    <w:tbl>
      <w:tblPr>
        <w:tblStyle w:val="TableGrid1"/>
        <w:tblW w:w="14170" w:type="dxa"/>
        <w:tblLook w:val="04A0" w:firstRow="1" w:lastRow="0" w:firstColumn="1" w:lastColumn="0" w:noHBand="0" w:noVBand="1"/>
      </w:tblPr>
      <w:tblGrid>
        <w:gridCol w:w="14170"/>
      </w:tblGrid>
      <w:tr w:rsidR="00613CF8" w:rsidRPr="00613CF8" w14:paraId="53482E7E" w14:textId="77777777" w:rsidTr="00B27DBD">
        <w:trPr>
          <w:trHeight w:val="416"/>
        </w:trPr>
        <w:tc>
          <w:tcPr>
            <w:tcW w:w="14170" w:type="dxa"/>
          </w:tcPr>
          <w:p w14:paraId="1CEA5112" w14:textId="3923EE63" w:rsidR="00F05424" w:rsidRPr="00CE5DA8" w:rsidRDefault="00C20614" w:rsidP="00CE5DA8">
            <w:pPr>
              <w:spacing w:after="120" w:line="276" w:lineRule="auto"/>
              <w:rPr>
                <w:b/>
                <w:bCs/>
                <w:szCs w:val="28"/>
                <w:lang w:val="en-US"/>
              </w:rPr>
            </w:pPr>
            <w:r w:rsidRPr="00CE5DA8">
              <w:rPr>
                <w:b/>
                <w:bCs/>
                <w:szCs w:val="28"/>
                <w:lang w:val="en-US"/>
              </w:rPr>
              <w:t>External</w:t>
            </w:r>
          </w:p>
          <w:p w14:paraId="67701AF2" w14:textId="601640C4" w:rsidR="00506686" w:rsidRPr="00CE5DA8" w:rsidRDefault="00CB5F54" w:rsidP="00CE5DA8">
            <w:pPr>
              <w:spacing w:after="120" w:line="276" w:lineRule="auto"/>
              <w:rPr>
                <w:szCs w:val="28"/>
                <w:lang w:val="en-US"/>
              </w:rPr>
            </w:pPr>
            <w:r>
              <w:rPr>
                <w:szCs w:val="28"/>
                <w:lang w:val="en-US"/>
              </w:rPr>
              <w:t xml:space="preserve">We </w:t>
            </w:r>
            <w:r w:rsidR="00506686" w:rsidRPr="00CE5DA8">
              <w:rPr>
                <w:szCs w:val="28"/>
                <w:lang w:val="en-US"/>
              </w:rPr>
              <w:t>invite</w:t>
            </w:r>
            <w:r w:rsidR="001C740E">
              <w:rPr>
                <w:szCs w:val="28"/>
                <w:lang w:val="en-US"/>
              </w:rPr>
              <w:t>d</w:t>
            </w:r>
            <w:r>
              <w:rPr>
                <w:szCs w:val="28"/>
                <w:lang w:val="en-US"/>
              </w:rPr>
              <w:t xml:space="preserve"> partners</w:t>
            </w:r>
            <w:r w:rsidR="00506686" w:rsidRPr="00CE5DA8">
              <w:rPr>
                <w:szCs w:val="28"/>
                <w:lang w:val="en-US"/>
              </w:rPr>
              <w:t xml:space="preserve"> to consultation sessions when we were developing the proposed policy. </w:t>
            </w:r>
            <w:r>
              <w:rPr>
                <w:szCs w:val="28"/>
                <w:lang w:val="en-US"/>
              </w:rPr>
              <w:t>We use</w:t>
            </w:r>
            <w:r w:rsidR="001C740E">
              <w:rPr>
                <w:szCs w:val="28"/>
                <w:lang w:val="en-US"/>
              </w:rPr>
              <w:t xml:space="preserve">d their </w:t>
            </w:r>
            <w:r w:rsidR="00506686" w:rsidRPr="00CE5DA8">
              <w:rPr>
                <w:szCs w:val="28"/>
                <w:lang w:val="en-US"/>
              </w:rPr>
              <w:t>feedback to shape the outputs.</w:t>
            </w:r>
            <w:r w:rsidR="00CE5DA8">
              <w:rPr>
                <w:szCs w:val="28"/>
                <w:lang w:val="en-US"/>
              </w:rPr>
              <w:t xml:space="preserve"> </w:t>
            </w:r>
          </w:p>
          <w:p w14:paraId="03F4A228" w14:textId="40D14DF0" w:rsidR="00C20614" w:rsidRPr="00CE5DA8" w:rsidRDefault="00C20614" w:rsidP="00CE5DA8">
            <w:pPr>
              <w:spacing w:after="120" w:line="276" w:lineRule="auto"/>
              <w:rPr>
                <w:b/>
                <w:bCs/>
                <w:szCs w:val="28"/>
                <w:lang w:val="en-US"/>
              </w:rPr>
            </w:pPr>
            <w:r w:rsidRPr="00CE5DA8">
              <w:rPr>
                <w:b/>
                <w:bCs/>
                <w:szCs w:val="28"/>
                <w:lang w:val="en-US"/>
              </w:rPr>
              <w:t>Internal</w:t>
            </w:r>
          </w:p>
          <w:p w14:paraId="14F90302" w14:textId="3621A1BC" w:rsidR="00C20614" w:rsidRPr="00CE5DA8" w:rsidRDefault="00C20614" w:rsidP="00CE5DA8">
            <w:pPr>
              <w:spacing w:after="120" w:line="276" w:lineRule="auto"/>
              <w:rPr>
                <w:szCs w:val="28"/>
                <w:lang w:val="en-US"/>
              </w:rPr>
            </w:pPr>
            <w:r w:rsidRPr="00CE5DA8">
              <w:rPr>
                <w:szCs w:val="28"/>
                <w:lang w:val="en-US"/>
              </w:rPr>
              <w:t>Patricia Horton</w:t>
            </w:r>
            <w:r w:rsidR="001C740E">
              <w:rPr>
                <w:szCs w:val="28"/>
                <w:lang w:val="en-US"/>
              </w:rPr>
              <w:t xml:space="preserve"> / Diana De Stegmann</w:t>
            </w:r>
            <w:r w:rsidRPr="00CE5DA8">
              <w:rPr>
                <w:szCs w:val="28"/>
                <w:lang w:val="en-US"/>
              </w:rPr>
              <w:t xml:space="preserve"> – Research and data impact</w:t>
            </w:r>
          </w:p>
          <w:p w14:paraId="3701A618" w14:textId="4FF3E78B" w:rsidR="00330884" w:rsidRPr="00CE5DA8" w:rsidRDefault="00506686" w:rsidP="00CE5DA8">
            <w:pPr>
              <w:spacing w:after="120" w:line="276" w:lineRule="auto"/>
              <w:rPr>
                <w:szCs w:val="28"/>
                <w:lang w:val="en-US"/>
              </w:rPr>
            </w:pPr>
            <w:r w:rsidRPr="00CE5DA8">
              <w:rPr>
                <w:szCs w:val="28"/>
                <w:lang w:val="en-US"/>
              </w:rPr>
              <w:t>SGB team</w:t>
            </w:r>
            <w:r w:rsidR="00CE5DA8">
              <w:rPr>
                <w:szCs w:val="28"/>
                <w:lang w:val="en-US"/>
              </w:rPr>
              <w:t xml:space="preserve"> /</w:t>
            </w:r>
            <w:r w:rsidRPr="00CE5DA8">
              <w:rPr>
                <w:szCs w:val="28"/>
                <w:lang w:val="en-US"/>
              </w:rPr>
              <w:t xml:space="preserve"> </w:t>
            </w:r>
            <w:r w:rsidR="00C20614" w:rsidRPr="00CE5DA8">
              <w:rPr>
                <w:szCs w:val="28"/>
                <w:lang w:val="en-US"/>
              </w:rPr>
              <w:t>Alison Lunn – Moving to inclusion</w:t>
            </w:r>
            <w:r w:rsidR="00CB5F54">
              <w:rPr>
                <w:szCs w:val="28"/>
                <w:lang w:val="en-US"/>
              </w:rPr>
              <w:t xml:space="preserve"> framework and partner engagement.</w:t>
            </w:r>
          </w:p>
          <w:p w14:paraId="2B0E00FA" w14:textId="6AC65387" w:rsidR="00F05424" w:rsidRPr="00613CF8" w:rsidRDefault="00506686" w:rsidP="00CE5DA8">
            <w:pPr>
              <w:spacing w:after="120" w:line="276" w:lineRule="auto"/>
              <w:rPr>
                <w:lang w:val="en-US"/>
              </w:rPr>
            </w:pPr>
            <w:r w:rsidRPr="2BF4F2AA">
              <w:rPr>
                <w:lang w:val="en-US"/>
              </w:rPr>
              <w:lastRenderedPageBreak/>
              <w:t>Fiona Lilley – Wider equality impact</w:t>
            </w:r>
          </w:p>
        </w:tc>
      </w:tr>
    </w:tbl>
    <w:p w14:paraId="132C700B" w14:textId="77777777" w:rsidR="00613CF8" w:rsidRPr="00613CF8" w:rsidRDefault="00613CF8" w:rsidP="00613CF8">
      <w:pPr>
        <w:spacing w:before="480" w:after="120" w:line="240" w:lineRule="atLeast"/>
        <w:outlineLvl w:val="0"/>
        <w:rPr>
          <w:b/>
          <w:sz w:val="32"/>
          <w:szCs w:val="28"/>
          <w:lang w:val="en-US"/>
        </w:rPr>
      </w:pPr>
      <w:r w:rsidRPr="00613CF8">
        <w:rPr>
          <w:b/>
          <w:sz w:val="32"/>
          <w:szCs w:val="28"/>
          <w:lang w:val="en-US"/>
        </w:rPr>
        <w:lastRenderedPageBreak/>
        <w:t>Section 6 – Actions</w:t>
      </w:r>
    </w:p>
    <w:p w14:paraId="29F28769" w14:textId="0D4940CC" w:rsidR="00613CF8" w:rsidRPr="00613CF8" w:rsidRDefault="00613CF8" w:rsidP="00613CF8">
      <w:pPr>
        <w:spacing w:after="120" w:line="288" w:lineRule="auto"/>
        <w:rPr>
          <w:sz w:val="22"/>
          <w:szCs w:val="24"/>
          <w:lang w:val="en-US"/>
        </w:rPr>
      </w:pPr>
      <w:r w:rsidRPr="00613CF8">
        <w:rPr>
          <w:sz w:val="22"/>
          <w:szCs w:val="24"/>
          <w:lang w:val="en-US"/>
        </w:rPr>
        <w:t xml:space="preserve">See appendix </w:t>
      </w:r>
      <w:r w:rsidR="006847F1">
        <w:rPr>
          <w:sz w:val="22"/>
          <w:szCs w:val="24"/>
          <w:lang w:val="en-US"/>
        </w:rPr>
        <w:t>two</w:t>
      </w:r>
      <w:r w:rsidRPr="00613CF8">
        <w:rPr>
          <w:sz w:val="22"/>
          <w:szCs w:val="24"/>
          <w:lang w:val="en-US"/>
        </w:rPr>
        <w:t xml:space="preserve"> on paying due regard. Set out what mitigating actions you have put in place.</w:t>
      </w:r>
      <w:r w:rsidR="00F05424">
        <w:rPr>
          <w:sz w:val="22"/>
          <w:szCs w:val="24"/>
          <w:lang w:val="en-US"/>
        </w:rPr>
        <w:t xml:space="preserve"> </w:t>
      </w:r>
      <w:r w:rsidRPr="00613CF8">
        <w:rPr>
          <w:sz w:val="22"/>
          <w:szCs w:val="24"/>
          <w:lang w:val="en-US"/>
        </w:rPr>
        <w:t xml:space="preserve">How are you seeking to address the negative impacts or promote the positive impacts you have noted in the general and differential impacts in Section 2 and 4 above? </w:t>
      </w:r>
      <w:r w:rsidR="008344F1">
        <w:rPr>
          <w:sz w:val="22"/>
          <w:szCs w:val="24"/>
          <w:lang w:val="en-US"/>
        </w:rPr>
        <w:t xml:space="preserve"> </w:t>
      </w:r>
      <w:r w:rsidRPr="00613CF8">
        <w:rPr>
          <w:sz w:val="22"/>
          <w:szCs w:val="24"/>
          <w:lang w:val="en-US"/>
        </w:rPr>
        <w:t>It is OK to say that the measure has a negative impact if it is justified. However, you should always have considered mitigating actions.</w:t>
      </w:r>
    </w:p>
    <w:tbl>
      <w:tblPr>
        <w:tblStyle w:val="TableGrid1"/>
        <w:tblW w:w="14312" w:type="dxa"/>
        <w:tblLook w:val="04A0" w:firstRow="1" w:lastRow="0" w:firstColumn="1" w:lastColumn="0" w:noHBand="0" w:noVBand="1"/>
      </w:tblPr>
      <w:tblGrid>
        <w:gridCol w:w="14312"/>
      </w:tblGrid>
      <w:tr w:rsidR="00613CF8" w:rsidRPr="00613CF8" w14:paraId="0671ADC8" w14:textId="77777777" w:rsidTr="00F0347C">
        <w:trPr>
          <w:trHeight w:val="1522"/>
        </w:trPr>
        <w:tc>
          <w:tcPr>
            <w:tcW w:w="14312" w:type="dxa"/>
          </w:tcPr>
          <w:p w14:paraId="09A9B4B3" w14:textId="57D3A349" w:rsidR="00041ACE" w:rsidRPr="00041ACE" w:rsidRDefault="00041ACE" w:rsidP="00041ACE">
            <w:pPr>
              <w:spacing w:after="120" w:line="288" w:lineRule="auto"/>
              <w:rPr>
                <w:rFonts w:cs="Arial"/>
                <w:color w:val="000000"/>
                <w:sz w:val="22"/>
                <w:szCs w:val="22"/>
                <w:lang w:val="en-US"/>
              </w:rPr>
            </w:pPr>
            <w:r w:rsidRPr="00041ACE">
              <w:rPr>
                <w:rFonts w:cs="Arial"/>
                <w:color w:val="000000"/>
                <w:sz w:val="22"/>
                <w:szCs w:val="22"/>
                <w:lang w:val="en-US"/>
              </w:rPr>
              <w:t xml:space="preserve">We will continue to promote existing support provided via the SGB generic support services and through the refreshed equality framework to ensure compliance. Rob Hardie – March 2024, from policy implementation and ongoing. </w:t>
            </w:r>
          </w:p>
          <w:p w14:paraId="72281319" w14:textId="2C496F5C" w:rsidR="008344F1" w:rsidRPr="00613CF8" w:rsidRDefault="00B9586F" w:rsidP="00CB5F54">
            <w:pPr>
              <w:spacing w:after="120" w:line="276" w:lineRule="auto"/>
              <w:rPr>
                <w:sz w:val="22"/>
                <w:szCs w:val="24"/>
                <w:lang w:val="en-US"/>
              </w:rPr>
            </w:pPr>
            <w:r w:rsidRPr="00041ACE">
              <w:rPr>
                <w:sz w:val="22"/>
                <w:szCs w:val="22"/>
                <w:lang w:val="en-US"/>
              </w:rPr>
              <w:t>Based on th</w:t>
            </w:r>
            <w:r w:rsidR="00CE25C6" w:rsidRPr="00041ACE">
              <w:rPr>
                <w:sz w:val="22"/>
                <w:szCs w:val="22"/>
                <w:lang w:val="en-US"/>
              </w:rPr>
              <w:t>is assessment and review there are no further actions required</w:t>
            </w:r>
            <w:r w:rsidR="00041ACE" w:rsidRPr="00041ACE">
              <w:rPr>
                <w:sz w:val="22"/>
                <w:szCs w:val="22"/>
                <w:lang w:val="en-US"/>
              </w:rPr>
              <w:t>. However,</w:t>
            </w:r>
            <w:r w:rsidR="00CE25C6" w:rsidRPr="00041ACE">
              <w:rPr>
                <w:sz w:val="22"/>
                <w:szCs w:val="22"/>
                <w:lang w:val="en-US"/>
              </w:rPr>
              <w:t xml:space="preserve"> </w:t>
            </w:r>
            <w:r w:rsidR="000F338A" w:rsidRPr="00041ACE">
              <w:rPr>
                <w:sz w:val="22"/>
                <w:szCs w:val="22"/>
                <w:lang w:val="en-US"/>
              </w:rPr>
              <w:t>we will continue to assess the process</w:t>
            </w:r>
            <w:r w:rsidR="00041ACE" w:rsidRPr="00041ACE">
              <w:rPr>
                <w:sz w:val="22"/>
                <w:szCs w:val="22"/>
                <w:lang w:val="en-US"/>
              </w:rPr>
              <w:t xml:space="preserve"> as it is implemented</w:t>
            </w:r>
            <w:r w:rsidR="000F338A" w:rsidRPr="00041ACE">
              <w:rPr>
                <w:sz w:val="22"/>
                <w:szCs w:val="22"/>
                <w:lang w:val="en-US"/>
              </w:rPr>
              <w:t xml:space="preserve"> and update if and when </w:t>
            </w:r>
            <w:r w:rsidR="00403DF1" w:rsidRPr="00041ACE">
              <w:rPr>
                <w:sz w:val="22"/>
                <w:szCs w:val="22"/>
                <w:lang w:val="en-US"/>
              </w:rPr>
              <w:t>required.</w:t>
            </w:r>
            <w:r w:rsidR="00403DF1">
              <w:rPr>
                <w:sz w:val="22"/>
                <w:szCs w:val="24"/>
                <w:lang w:val="en-US"/>
              </w:rPr>
              <w:t xml:space="preserve"> </w:t>
            </w:r>
          </w:p>
        </w:tc>
      </w:tr>
    </w:tbl>
    <w:p w14:paraId="19B7C7AC" w14:textId="478FAC70" w:rsidR="00613CF8" w:rsidRDefault="00613CF8" w:rsidP="00787538">
      <w:pPr>
        <w:rPr>
          <w:sz w:val="28"/>
          <w:szCs w:val="22"/>
        </w:rPr>
      </w:pPr>
    </w:p>
    <w:p w14:paraId="3443309D" w14:textId="313A2745" w:rsidR="005B7283" w:rsidRDefault="005B7283" w:rsidP="005B7283">
      <w:pPr>
        <w:spacing w:before="480" w:after="120" w:line="240" w:lineRule="atLeast"/>
        <w:outlineLvl w:val="0"/>
        <w:rPr>
          <w:b/>
          <w:sz w:val="32"/>
          <w:szCs w:val="28"/>
          <w:lang w:val="en-US"/>
        </w:rPr>
      </w:pPr>
      <w:r w:rsidRPr="00613CF8">
        <w:rPr>
          <w:b/>
          <w:sz w:val="32"/>
          <w:szCs w:val="28"/>
          <w:lang w:val="en-US"/>
        </w:rPr>
        <w:t xml:space="preserve">Section </w:t>
      </w:r>
      <w:r>
        <w:rPr>
          <w:b/>
          <w:sz w:val="32"/>
          <w:szCs w:val="28"/>
          <w:lang w:val="en-US"/>
        </w:rPr>
        <w:t>7</w:t>
      </w:r>
      <w:r w:rsidRPr="00613CF8">
        <w:rPr>
          <w:b/>
          <w:sz w:val="32"/>
          <w:szCs w:val="28"/>
          <w:lang w:val="en-US"/>
        </w:rPr>
        <w:t xml:space="preserve"> – </w:t>
      </w:r>
      <w:r>
        <w:rPr>
          <w:b/>
          <w:sz w:val="32"/>
          <w:szCs w:val="28"/>
          <w:lang w:val="en-US"/>
        </w:rPr>
        <w:t xml:space="preserve">Sign </w:t>
      </w:r>
      <w:proofErr w:type="gramStart"/>
      <w:r>
        <w:rPr>
          <w:b/>
          <w:sz w:val="32"/>
          <w:szCs w:val="28"/>
          <w:lang w:val="en-US"/>
        </w:rPr>
        <w:t>off</w:t>
      </w:r>
      <w:proofErr w:type="gramEnd"/>
    </w:p>
    <w:tbl>
      <w:tblPr>
        <w:tblStyle w:val="TableGrid"/>
        <w:tblW w:w="0" w:type="auto"/>
        <w:tblLook w:val="04A0" w:firstRow="1" w:lastRow="0" w:firstColumn="1" w:lastColumn="0" w:noHBand="0" w:noVBand="1"/>
      </w:tblPr>
      <w:tblGrid>
        <w:gridCol w:w="2943"/>
        <w:gridCol w:w="2748"/>
      </w:tblGrid>
      <w:tr w:rsidR="000B3D83" w:rsidRPr="000B3D83" w14:paraId="7DC8C939" w14:textId="77777777" w:rsidTr="003409E2">
        <w:trPr>
          <w:trHeight w:val="375"/>
        </w:trPr>
        <w:tc>
          <w:tcPr>
            <w:tcW w:w="0" w:type="auto"/>
            <w:shd w:val="clear" w:color="auto" w:fill="002060"/>
          </w:tcPr>
          <w:p w14:paraId="5961ABBE" w14:textId="42951C64" w:rsidR="000B3D83" w:rsidRPr="000B3D83" w:rsidRDefault="000B3D83" w:rsidP="005B7283">
            <w:pPr>
              <w:spacing w:before="480" w:after="120" w:line="240" w:lineRule="atLeast"/>
              <w:outlineLvl w:val="0"/>
              <w:rPr>
                <w:b/>
                <w:sz w:val="22"/>
                <w:szCs w:val="22"/>
                <w:lang w:val="en-US"/>
              </w:rPr>
            </w:pPr>
            <w:r w:rsidRPr="000B3D83">
              <w:rPr>
                <w:b/>
                <w:sz w:val="22"/>
                <w:szCs w:val="22"/>
                <w:lang w:val="en-US"/>
              </w:rPr>
              <w:t>Assessment sign</w:t>
            </w:r>
            <w:r w:rsidR="003409E2">
              <w:rPr>
                <w:b/>
                <w:sz w:val="22"/>
                <w:szCs w:val="22"/>
                <w:lang w:val="en-US"/>
              </w:rPr>
              <w:t>ed</w:t>
            </w:r>
            <w:r w:rsidRPr="000B3D83">
              <w:rPr>
                <w:b/>
                <w:sz w:val="22"/>
                <w:szCs w:val="22"/>
                <w:lang w:val="en-US"/>
              </w:rPr>
              <w:t xml:space="preserve"> off by</w:t>
            </w:r>
          </w:p>
        </w:tc>
        <w:tc>
          <w:tcPr>
            <w:tcW w:w="0" w:type="auto"/>
          </w:tcPr>
          <w:p w14:paraId="13068FD6" w14:textId="710BE258" w:rsidR="000B3D83" w:rsidRPr="000B3D83" w:rsidRDefault="000B3D83" w:rsidP="005B7283">
            <w:pPr>
              <w:spacing w:before="480" w:after="120" w:line="240" w:lineRule="atLeast"/>
              <w:outlineLvl w:val="0"/>
              <w:rPr>
                <w:bCs/>
                <w:sz w:val="22"/>
                <w:szCs w:val="22"/>
                <w:lang w:val="en-US"/>
              </w:rPr>
            </w:pPr>
            <w:r w:rsidRPr="000B3D83">
              <w:rPr>
                <w:bCs/>
                <w:sz w:val="22"/>
                <w:szCs w:val="22"/>
                <w:lang w:val="en-US"/>
              </w:rPr>
              <w:t>Senior management team</w:t>
            </w:r>
          </w:p>
        </w:tc>
      </w:tr>
      <w:tr w:rsidR="000B3D83" w:rsidRPr="000B3D83" w14:paraId="7DDA9297" w14:textId="77777777" w:rsidTr="000B3D83">
        <w:tc>
          <w:tcPr>
            <w:tcW w:w="0" w:type="auto"/>
            <w:shd w:val="clear" w:color="auto" w:fill="002060"/>
          </w:tcPr>
          <w:p w14:paraId="1ADC90A9" w14:textId="7DDEB8D5" w:rsidR="000B3D83" w:rsidRPr="000B3D83" w:rsidRDefault="000B3D83" w:rsidP="005B7283">
            <w:pPr>
              <w:spacing w:before="480" w:after="120" w:line="240" w:lineRule="atLeast"/>
              <w:outlineLvl w:val="0"/>
              <w:rPr>
                <w:b/>
                <w:sz w:val="22"/>
                <w:szCs w:val="22"/>
                <w:lang w:val="en-US"/>
              </w:rPr>
            </w:pPr>
            <w:r w:rsidRPr="000B3D83">
              <w:rPr>
                <w:b/>
                <w:sz w:val="22"/>
                <w:szCs w:val="22"/>
                <w:lang w:val="en-US"/>
              </w:rPr>
              <w:t>Sign off date</w:t>
            </w:r>
          </w:p>
        </w:tc>
        <w:tc>
          <w:tcPr>
            <w:tcW w:w="0" w:type="auto"/>
          </w:tcPr>
          <w:p w14:paraId="1AA66E1A" w14:textId="613209C7" w:rsidR="000B3D83" w:rsidRPr="000B3D83" w:rsidRDefault="000B3D83" w:rsidP="005B7283">
            <w:pPr>
              <w:spacing w:before="480" w:after="120" w:line="240" w:lineRule="atLeast"/>
              <w:outlineLvl w:val="0"/>
              <w:rPr>
                <w:bCs/>
                <w:sz w:val="22"/>
                <w:szCs w:val="22"/>
                <w:lang w:val="en-US"/>
              </w:rPr>
            </w:pPr>
            <w:r w:rsidRPr="000B3D83">
              <w:rPr>
                <w:bCs/>
                <w:sz w:val="22"/>
                <w:szCs w:val="22"/>
                <w:lang w:val="en-US"/>
              </w:rPr>
              <w:t>January 2024</w:t>
            </w:r>
          </w:p>
        </w:tc>
      </w:tr>
    </w:tbl>
    <w:p w14:paraId="2A791451" w14:textId="77777777" w:rsidR="005B7283" w:rsidRPr="00613CF8" w:rsidRDefault="005B7283" w:rsidP="005B7283">
      <w:pPr>
        <w:spacing w:before="480" w:after="120" w:line="240" w:lineRule="atLeast"/>
        <w:outlineLvl w:val="0"/>
        <w:rPr>
          <w:b/>
          <w:sz w:val="32"/>
          <w:szCs w:val="28"/>
          <w:lang w:val="en-US"/>
        </w:rPr>
      </w:pPr>
    </w:p>
    <w:p w14:paraId="5C4F4491" w14:textId="77777777" w:rsidR="00825698" w:rsidRDefault="00825698" w:rsidP="00787538">
      <w:pPr>
        <w:rPr>
          <w:sz w:val="28"/>
          <w:szCs w:val="22"/>
        </w:rPr>
      </w:pPr>
    </w:p>
    <w:sectPr w:rsidR="00825698" w:rsidSect="00FF623A">
      <w:footerReference w:type="default" r:id="rId15"/>
      <w:pgSz w:w="16838" w:h="11906" w:orient="landscape" w:code="9"/>
      <w:pgMar w:top="1134"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6FC6" w14:textId="77777777" w:rsidR="000248D9" w:rsidRDefault="000248D9" w:rsidP="00A1068D">
      <w:r>
        <w:separator/>
      </w:r>
    </w:p>
  </w:endnote>
  <w:endnote w:type="continuationSeparator" w:id="0">
    <w:p w14:paraId="7F83EB3A" w14:textId="77777777" w:rsidR="000248D9" w:rsidRDefault="000248D9" w:rsidP="00A1068D">
      <w:r>
        <w:continuationSeparator/>
      </w:r>
    </w:p>
  </w:endnote>
  <w:endnote w:type="continuationNotice" w:id="1">
    <w:p w14:paraId="005A15BD" w14:textId="77777777" w:rsidR="000248D9" w:rsidRDefault="00024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ho Std Heavy">
    <w:altName w:val="Cambria"/>
    <w:panose1 w:val="00000000000000000000"/>
    <w:charset w:val="00"/>
    <w:family w:val="roman"/>
    <w:notTrueType/>
    <w:pitch w:val="variable"/>
    <w:sig w:usb0="E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CCDB" w14:textId="77777777" w:rsidR="00D87541" w:rsidRDefault="00D87541">
    <w:pPr>
      <w:pStyle w:val="Footer"/>
    </w:pPr>
  </w:p>
  <w:p w14:paraId="4C22986B" w14:textId="77777777" w:rsidR="00D87541" w:rsidRDefault="00D87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8EAC" w14:textId="77777777" w:rsidR="000248D9" w:rsidRDefault="000248D9" w:rsidP="00A1068D">
      <w:r>
        <w:separator/>
      </w:r>
    </w:p>
  </w:footnote>
  <w:footnote w:type="continuationSeparator" w:id="0">
    <w:p w14:paraId="0885BDE4" w14:textId="77777777" w:rsidR="000248D9" w:rsidRDefault="000248D9" w:rsidP="00A1068D">
      <w:r>
        <w:continuationSeparator/>
      </w:r>
    </w:p>
  </w:footnote>
  <w:footnote w:type="continuationNotice" w:id="1">
    <w:p w14:paraId="63410E9D" w14:textId="77777777" w:rsidR="000248D9" w:rsidRDefault="000248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91EF2"/>
    <w:multiLevelType w:val="multilevel"/>
    <w:tmpl w:val="ABD6B024"/>
    <w:lvl w:ilvl="0">
      <w:start w:val="1"/>
      <w:numFmt w:val="bullet"/>
      <w:lvlText w:val=""/>
      <w:lvlJc w:val="left"/>
      <w:pPr>
        <w:ind w:left="717" w:hanging="360"/>
      </w:pPr>
      <w:rPr>
        <w:rFonts w:ascii="Symbol" w:hAnsi="Symbol" w:hint="default"/>
      </w:rPr>
    </w:lvl>
    <w:lvl w:ilvl="1">
      <w:start w:val="1"/>
      <w:numFmt w:val="bullet"/>
      <w:lvlText w:val="o"/>
      <w:lvlJc w:val="left"/>
      <w:pPr>
        <w:ind w:left="1214" w:hanging="432"/>
      </w:pPr>
      <w:rPr>
        <w:rFonts w:ascii="Courier New" w:hAnsi="Courier New" w:cs="Courier New" w:hint="default"/>
      </w:rPr>
    </w:lvl>
    <w:lvl w:ilvl="2">
      <w:start w:val="1"/>
      <w:numFmt w:val="bullet"/>
      <w:lvlText w:val=""/>
      <w:lvlJc w:val="left"/>
      <w:pPr>
        <w:ind w:left="1581" w:hanging="504"/>
      </w:pPr>
      <w:rPr>
        <w:rFonts w:ascii="Symbol" w:hAnsi="Symbol" w:hint="default"/>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0C67043C"/>
    <w:multiLevelType w:val="hybridMultilevel"/>
    <w:tmpl w:val="1F9A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82696"/>
    <w:multiLevelType w:val="hybridMultilevel"/>
    <w:tmpl w:val="2804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F473C"/>
    <w:multiLevelType w:val="hybridMultilevel"/>
    <w:tmpl w:val="12A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C6872"/>
    <w:multiLevelType w:val="hybridMultilevel"/>
    <w:tmpl w:val="3598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6176C"/>
    <w:multiLevelType w:val="hybridMultilevel"/>
    <w:tmpl w:val="6E6E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E3D7D"/>
    <w:multiLevelType w:val="hybridMultilevel"/>
    <w:tmpl w:val="5A52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7417B"/>
    <w:multiLevelType w:val="hybridMultilevel"/>
    <w:tmpl w:val="BEA4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345A4"/>
    <w:multiLevelType w:val="hybridMultilevel"/>
    <w:tmpl w:val="962A61A8"/>
    <w:lvl w:ilvl="0" w:tplc="0EEA61BA">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ED305FA"/>
    <w:multiLevelType w:val="hybridMultilevel"/>
    <w:tmpl w:val="2B1A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97325"/>
    <w:multiLevelType w:val="hybridMultilevel"/>
    <w:tmpl w:val="5148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279CB"/>
    <w:multiLevelType w:val="hybridMultilevel"/>
    <w:tmpl w:val="3F80671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13665B"/>
    <w:multiLevelType w:val="hybridMultilevel"/>
    <w:tmpl w:val="60529574"/>
    <w:lvl w:ilvl="0" w:tplc="0809000F">
      <w:start w:val="1"/>
      <w:numFmt w:val="decimal"/>
      <w:lvlText w:val="%1."/>
      <w:lvlJc w:val="left"/>
      <w:pPr>
        <w:ind w:left="720" w:hanging="360"/>
      </w:pPr>
    </w:lvl>
    <w:lvl w:ilvl="1" w:tplc="E856E7F0">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77539"/>
    <w:multiLevelType w:val="multilevel"/>
    <w:tmpl w:val="C4E29BD8"/>
    <w:lvl w:ilvl="0">
      <w:start w:val="1"/>
      <w:numFmt w:val="bullet"/>
      <w:lvlText w:val=""/>
      <w:lvlJc w:val="left"/>
      <w:pPr>
        <w:ind w:left="717" w:hanging="360"/>
      </w:pPr>
      <w:rPr>
        <w:rFonts w:ascii="Symbol" w:hAnsi="Symbol" w:hint="default"/>
      </w:rPr>
    </w:lvl>
    <w:lvl w:ilvl="1">
      <w:start w:val="1"/>
      <w:numFmt w:val="bullet"/>
      <w:lvlText w:val="o"/>
      <w:lvlJc w:val="left"/>
      <w:pPr>
        <w:ind w:left="1214" w:hanging="432"/>
      </w:pPr>
      <w:rPr>
        <w:rFonts w:ascii="Courier New" w:hAnsi="Courier New" w:cs="Courier New" w:hint="default"/>
      </w:rPr>
    </w:lvl>
    <w:lvl w:ilvl="2">
      <w:start w:val="1"/>
      <w:numFmt w:val="bullet"/>
      <w:lvlText w:val=""/>
      <w:lvlJc w:val="left"/>
      <w:pPr>
        <w:ind w:left="1581" w:hanging="504"/>
      </w:pPr>
      <w:rPr>
        <w:rFonts w:ascii="Symbol" w:hAnsi="Symbol" w:hint="default"/>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5B8C483E"/>
    <w:multiLevelType w:val="hybridMultilevel"/>
    <w:tmpl w:val="73F8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73675"/>
    <w:multiLevelType w:val="hybridMultilevel"/>
    <w:tmpl w:val="AEC447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AA1DA0"/>
    <w:multiLevelType w:val="multilevel"/>
    <w:tmpl w:val="764EF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1A27E9"/>
    <w:multiLevelType w:val="multilevel"/>
    <w:tmpl w:val="27EAAF68"/>
    <w:lvl w:ilvl="0">
      <w:start w:val="1"/>
      <w:numFmt w:val="bullet"/>
      <w:lvlText w:val=""/>
      <w:lvlJc w:val="left"/>
      <w:pPr>
        <w:ind w:left="717" w:hanging="360"/>
      </w:pPr>
      <w:rPr>
        <w:rFonts w:ascii="Symbol" w:hAnsi="Symbol" w:hint="default"/>
      </w:rPr>
    </w:lvl>
    <w:lvl w:ilvl="1">
      <w:start w:val="1"/>
      <w:numFmt w:val="decimal"/>
      <w:lvlText w:val="%1.%2."/>
      <w:lvlJc w:val="left"/>
      <w:pPr>
        <w:ind w:left="1214" w:hanging="432"/>
      </w:pPr>
    </w:lvl>
    <w:lvl w:ilvl="2">
      <w:start w:val="1"/>
      <w:numFmt w:val="bullet"/>
      <w:lvlText w:val=""/>
      <w:lvlJc w:val="left"/>
      <w:pPr>
        <w:ind w:left="1581" w:hanging="504"/>
      </w:pPr>
      <w:rPr>
        <w:rFonts w:ascii="Symbol" w:hAnsi="Symbol" w:hint="default"/>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1" w15:restartNumberingAfterBreak="0">
    <w:nsid w:val="5FC3142E"/>
    <w:multiLevelType w:val="hybridMultilevel"/>
    <w:tmpl w:val="DBC0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931D2"/>
    <w:multiLevelType w:val="hybridMultilevel"/>
    <w:tmpl w:val="278E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66006405"/>
    <w:multiLevelType w:val="hybridMultilevel"/>
    <w:tmpl w:val="C36E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54FF3"/>
    <w:multiLevelType w:val="hybridMultilevel"/>
    <w:tmpl w:val="D334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E285B"/>
    <w:multiLevelType w:val="hybridMultilevel"/>
    <w:tmpl w:val="E9B4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6551D"/>
    <w:multiLevelType w:val="hybridMultilevel"/>
    <w:tmpl w:val="E0DC07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511E3"/>
    <w:multiLevelType w:val="hybridMultilevel"/>
    <w:tmpl w:val="E958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8723B"/>
    <w:multiLevelType w:val="hybridMultilevel"/>
    <w:tmpl w:val="60529574"/>
    <w:lvl w:ilvl="0" w:tplc="FFFFFFFF">
      <w:start w:val="1"/>
      <w:numFmt w:val="decimal"/>
      <w:lvlText w:val="%1."/>
      <w:lvlJc w:val="left"/>
      <w:pPr>
        <w:ind w:left="720" w:hanging="360"/>
      </w:p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D771B8"/>
    <w:multiLevelType w:val="hybridMultilevel"/>
    <w:tmpl w:val="D00A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87497"/>
    <w:multiLevelType w:val="hybridMultilevel"/>
    <w:tmpl w:val="1EDC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092765">
    <w:abstractNumId w:val="23"/>
  </w:num>
  <w:num w:numId="2" w16cid:durableId="1777405977">
    <w:abstractNumId w:val="1"/>
  </w:num>
  <w:num w:numId="3" w16cid:durableId="1252393065">
    <w:abstractNumId w:val="1"/>
  </w:num>
  <w:num w:numId="4" w16cid:durableId="635454767">
    <w:abstractNumId w:val="1"/>
  </w:num>
  <w:num w:numId="5" w16cid:durableId="164168649">
    <w:abstractNumId w:val="23"/>
  </w:num>
  <w:num w:numId="6" w16cid:durableId="1240821719">
    <w:abstractNumId w:val="1"/>
  </w:num>
  <w:num w:numId="7" w16cid:durableId="1776055581">
    <w:abstractNumId w:val="8"/>
  </w:num>
  <w:num w:numId="8" w16cid:durableId="2043246069">
    <w:abstractNumId w:val="21"/>
  </w:num>
  <w:num w:numId="9" w16cid:durableId="678313959">
    <w:abstractNumId w:val="0"/>
  </w:num>
  <w:num w:numId="10" w16cid:durableId="1224833461">
    <w:abstractNumId w:val="2"/>
  </w:num>
  <w:num w:numId="11" w16cid:durableId="313225171">
    <w:abstractNumId w:val="10"/>
  </w:num>
  <w:num w:numId="12" w16cid:durableId="903688220">
    <w:abstractNumId w:val="12"/>
  </w:num>
  <w:num w:numId="13" w16cid:durableId="114715383">
    <w:abstractNumId w:val="31"/>
  </w:num>
  <w:num w:numId="14" w16cid:durableId="1244683345">
    <w:abstractNumId w:val="27"/>
  </w:num>
  <w:num w:numId="15" w16cid:durableId="1842626552">
    <w:abstractNumId w:val="9"/>
  </w:num>
  <w:num w:numId="16" w16cid:durableId="2013793048">
    <w:abstractNumId w:val="14"/>
  </w:num>
  <w:num w:numId="17" w16cid:durableId="1186089759">
    <w:abstractNumId w:val="11"/>
  </w:num>
  <w:num w:numId="18" w16cid:durableId="827477661">
    <w:abstractNumId w:val="18"/>
  </w:num>
  <w:num w:numId="19" w16cid:durableId="895431403">
    <w:abstractNumId w:val="19"/>
  </w:num>
  <w:num w:numId="20" w16cid:durableId="761796643">
    <w:abstractNumId w:val="17"/>
  </w:num>
  <w:num w:numId="21" w16cid:durableId="1577517411">
    <w:abstractNumId w:val="13"/>
  </w:num>
  <w:num w:numId="22" w16cid:durableId="942883134">
    <w:abstractNumId w:val="6"/>
  </w:num>
  <w:num w:numId="23" w16cid:durableId="330066949">
    <w:abstractNumId w:val="20"/>
  </w:num>
  <w:num w:numId="24" w16cid:durableId="132778383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1703100">
    <w:abstractNumId w:val="26"/>
  </w:num>
  <w:num w:numId="26" w16cid:durableId="686371234">
    <w:abstractNumId w:val="3"/>
  </w:num>
  <w:num w:numId="27" w16cid:durableId="684134947">
    <w:abstractNumId w:val="15"/>
  </w:num>
  <w:num w:numId="28" w16cid:durableId="125664616">
    <w:abstractNumId w:val="29"/>
  </w:num>
  <w:num w:numId="29" w16cid:durableId="1513183">
    <w:abstractNumId w:val="4"/>
  </w:num>
  <w:num w:numId="30" w16cid:durableId="1829252345">
    <w:abstractNumId w:val="30"/>
  </w:num>
  <w:num w:numId="31" w16cid:durableId="1284657597">
    <w:abstractNumId w:val="5"/>
  </w:num>
  <w:num w:numId="32" w16cid:durableId="1979264">
    <w:abstractNumId w:val="24"/>
  </w:num>
  <w:num w:numId="33" w16cid:durableId="1141657124">
    <w:abstractNumId w:val="28"/>
  </w:num>
  <w:num w:numId="34" w16cid:durableId="291449681">
    <w:abstractNumId w:val="25"/>
  </w:num>
  <w:num w:numId="35" w16cid:durableId="1645693662">
    <w:abstractNumId w:val="22"/>
  </w:num>
  <w:num w:numId="36" w16cid:durableId="173886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2D"/>
    <w:rsid w:val="000248D9"/>
    <w:rsid w:val="00024EBD"/>
    <w:rsid w:val="00027C27"/>
    <w:rsid w:val="00032969"/>
    <w:rsid w:val="00041ACE"/>
    <w:rsid w:val="00076E85"/>
    <w:rsid w:val="00095055"/>
    <w:rsid w:val="000B3D83"/>
    <w:rsid w:val="000C0CF4"/>
    <w:rsid w:val="000C41A4"/>
    <w:rsid w:val="000C57D3"/>
    <w:rsid w:val="000D59A5"/>
    <w:rsid w:val="000E5F3D"/>
    <w:rsid w:val="000F23AE"/>
    <w:rsid w:val="000F338A"/>
    <w:rsid w:val="00107D27"/>
    <w:rsid w:val="00114EAE"/>
    <w:rsid w:val="0012486F"/>
    <w:rsid w:val="00133451"/>
    <w:rsid w:val="001437FD"/>
    <w:rsid w:val="001466D5"/>
    <w:rsid w:val="0015255D"/>
    <w:rsid w:val="00156F0A"/>
    <w:rsid w:val="00176CCB"/>
    <w:rsid w:val="001B3B9F"/>
    <w:rsid w:val="001B4BFE"/>
    <w:rsid w:val="001C740E"/>
    <w:rsid w:val="001D28A3"/>
    <w:rsid w:val="001D5D5B"/>
    <w:rsid w:val="001E2E5E"/>
    <w:rsid w:val="00214C82"/>
    <w:rsid w:val="0022730A"/>
    <w:rsid w:val="00250E8F"/>
    <w:rsid w:val="00276841"/>
    <w:rsid w:val="00281057"/>
    <w:rsid w:val="00281579"/>
    <w:rsid w:val="002902CB"/>
    <w:rsid w:val="002A6BEC"/>
    <w:rsid w:val="002A7ED8"/>
    <w:rsid w:val="002C7612"/>
    <w:rsid w:val="002F49F1"/>
    <w:rsid w:val="00306C61"/>
    <w:rsid w:val="00327CAF"/>
    <w:rsid w:val="00330884"/>
    <w:rsid w:val="00336CB9"/>
    <w:rsid w:val="003409E2"/>
    <w:rsid w:val="0037582B"/>
    <w:rsid w:val="00382CB7"/>
    <w:rsid w:val="00383E7C"/>
    <w:rsid w:val="00385F3D"/>
    <w:rsid w:val="00394263"/>
    <w:rsid w:val="003C0502"/>
    <w:rsid w:val="003D1479"/>
    <w:rsid w:val="003E6D6F"/>
    <w:rsid w:val="003F7634"/>
    <w:rsid w:val="00403DF1"/>
    <w:rsid w:val="0041582B"/>
    <w:rsid w:val="00445101"/>
    <w:rsid w:val="00445635"/>
    <w:rsid w:val="00452830"/>
    <w:rsid w:val="00472CAA"/>
    <w:rsid w:val="00474E0C"/>
    <w:rsid w:val="004D2F2E"/>
    <w:rsid w:val="004E57DE"/>
    <w:rsid w:val="004E7023"/>
    <w:rsid w:val="00502354"/>
    <w:rsid w:val="00506686"/>
    <w:rsid w:val="0057471B"/>
    <w:rsid w:val="00584F53"/>
    <w:rsid w:val="00585236"/>
    <w:rsid w:val="005B04A9"/>
    <w:rsid w:val="005B7283"/>
    <w:rsid w:val="00610C1B"/>
    <w:rsid w:val="00613CF8"/>
    <w:rsid w:val="00615BBC"/>
    <w:rsid w:val="00626CB4"/>
    <w:rsid w:val="00634B3E"/>
    <w:rsid w:val="00640B1D"/>
    <w:rsid w:val="006847F1"/>
    <w:rsid w:val="006A180E"/>
    <w:rsid w:val="006A27E3"/>
    <w:rsid w:val="006B27CA"/>
    <w:rsid w:val="006F46D3"/>
    <w:rsid w:val="006F5CA0"/>
    <w:rsid w:val="006F69C0"/>
    <w:rsid w:val="007431DF"/>
    <w:rsid w:val="0074527E"/>
    <w:rsid w:val="00754F67"/>
    <w:rsid w:val="007759E0"/>
    <w:rsid w:val="00787538"/>
    <w:rsid w:val="007B2661"/>
    <w:rsid w:val="007D22B3"/>
    <w:rsid w:val="007E797A"/>
    <w:rsid w:val="008062E4"/>
    <w:rsid w:val="008161A6"/>
    <w:rsid w:val="0082058D"/>
    <w:rsid w:val="00825698"/>
    <w:rsid w:val="008344F1"/>
    <w:rsid w:val="00857548"/>
    <w:rsid w:val="008A2954"/>
    <w:rsid w:val="008C2426"/>
    <w:rsid w:val="008D6E49"/>
    <w:rsid w:val="008E0814"/>
    <w:rsid w:val="009029A0"/>
    <w:rsid w:val="009202CE"/>
    <w:rsid w:val="0093146F"/>
    <w:rsid w:val="00955780"/>
    <w:rsid w:val="00965317"/>
    <w:rsid w:val="0096542A"/>
    <w:rsid w:val="00972E7D"/>
    <w:rsid w:val="00995CEE"/>
    <w:rsid w:val="009A10DB"/>
    <w:rsid w:val="009B7615"/>
    <w:rsid w:val="00A05478"/>
    <w:rsid w:val="00A1068D"/>
    <w:rsid w:val="00A40472"/>
    <w:rsid w:val="00A41173"/>
    <w:rsid w:val="00A548C2"/>
    <w:rsid w:val="00A63516"/>
    <w:rsid w:val="00A6769E"/>
    <w:rsid w:val="00A67DAE"/>
    <w:rsid w:val="00A77BD4"/>
    <w:rsid w:val="00A90320"/>
    <w:rsid w:val="00A95290"/>
    <w:rsid w:val="00AB37B0"/>
    <w:rsid w:val="00AC5FBC"/>
    <w:rsid w:val="00AF552D"/>
    <w:rsid w:val="00B01950"/>
    <w:rsid w:val="00B27DBD"/>
    <w:rsid w:val="00B31B90"/>
    <w:rsid w:val="00B51570"/>
    <w:rsid w:val="00B51BDC"/>
    <w:rsid w:val="00B561C0"/>
    <w:rsid w:val="00B773CE"/>
    <w:rsid w:val="00B94375"/>
    <w:rsid w:val="00B9586F"/>
    <w:rsid w:val="00BB7A04"/>
    <w:rsid w:val="00BC41E0"/>
    <w:rsid w:val="00C20614"/>
    <w:rsid w:val="00C23543"/>
    <w:rsid w:val="00C5461B"/>
    <w:rsid w:val="00C705ED"/>
    <w:rsid w:val="00C740F6"/>
    <w:rsid w:val="00C84131"/>
    <w:rsid w:val="00C91823"/>
    <w:rsid w:val="00C97303"/>
    <w:rsid w:val="00CB5F54"/>
    <w:rsid w:val="00CB75E6"/>
    <w:rsid w:val="00CC20EF"/>
    <w:rsid w:val="00CD0A9E"/>
    <w:rsid w:val="00CD5DCF"/>
    <w:rsid w:val="00CE25C6"/>
    <w:rsid w:val="00CE5DA8"/>
    <w:rsid w:val="00D008AB"/>
    <w:rsid w:val="00D16CD2"/>
    <w:rsid w:val="00D33E55"/>
    <w:rsid w:val="00D77765"/>
    <w:rsid w:val="00D87541"/>
    <w:rsid w:val="00D90DD7"/>
    <w:rsid w:val="00DA029F"/>
    <w:rsid w:val="00DA344C"/>
    <w:rsid w:val="00DE75D7"/>
    <w:rsid w:val="00DF4BE6"/>
    <w:rsid w:val="00E03074"/>
    <w:rsid w:val="00E060E5"/>
    <w:rsid w:val="00E900D3"/>
    <w:rsid w:val="00E96C98"/>
    <w:rsid w:val="00EB7D26"/>
    <w:rsid w:val="00EC2DD3"/>
    <w:rsid w:val="00EC68FE"/>
    <w:rsid w:val="00ED2B44"/>
    <w:rsid w:val="00ED7BB5"/>
    <w:rsid w:val="00F02062"/>
    <w:rsid w:val="00F0347C"/>
    <w:rsid w:val="00F05424"/>
    <w:rsid w:val="00F114B2"/>
    <w:rsid w:val="00F17C9E"/>
    <w:rsid w:val="00F21AB3"/>
    <w:rsid w:val="00F23A53"/>
    <w:rsid w:val="00F24030"/>
    <w:rsid w:val="00F60B35"/>
    <w:rsid w:val="00F66675"/>
    <w:rsid w:val="00F97CD8"/>
    <w:rsid w:val="00FA1F8A"/>
    <w:rsid w:val="00FA4BC1"/>
    <w:rsid w:val="00FE1141"/>
    <w:rsid w:val="00FF2393"/>
    <w:rsid w:val="00FF623A"/>
    <w:rsid w:val="09F74A36"/>
    <w:rsid w:val="2BF4F2AA"/>
    <w:rsid w:val="4F8BFFA0"/>
    <w:rsid w:val="6E20C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4635"/>
  <w15:chartTrackingRefBased/>
  <w15:docId w15:val="{111CB9E6-188A-4006-A44E-21EFFC97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55"/>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59"/>
    <w:rsid w:val="00AF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52D"/>
    <w:rPr>
      <w:color w:val="0563C1"/>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d"/>
    <w:basedOn w:val="Normal"/>
    <w:link w:val="ListParagraphChar"/>
    <w:uiPriority w:val="34"/>
    <w:qFormat/>
    <w:rsid w:val="00AF552D"/>
    <w:pPr>
      <w:ind w:left="720"/>
      <w:contextualSpacing/>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AF552D"/>
    <w:rPr>
      <w:rFonts w:ascii="Arial" w:hAnsi="Arial" w:cs="Times New Roman"/>
      <w:sz w:val="24"/>
      <w:szCs w:val="20"/>
    </w:rPr>
  </w:style>
  <w:style w:type="paragraph" w:styleId="FootnoteText">
    <w:name w:val="footnote text"/>
    <w:basedOn w:val="Normal"/>
    <w:link w:val="FootnoteTextChar"/>
    <w:uiPriority w:val="99"/>
    <w:semiHidden/>
    <w:unhideWhenUsed/>
    <w:rsid w:val="00A1068D"/>
    <w:rPr>
      <w:sz w:val="20"/>
    </w:rPr>
  </w:style>
  <w:style w:type="character" w:customStyle="1" w:styleId="FootnoteTextChar">
    <w:name w:val="Footnote Text Char"/>
    <w:basedOn w:val="DefaultParagraphFont"/>
    <w:link w:val="FootnoteText"/>
    <w:uiPriority w:val="99"/>
    <w:semiHidden/>
    <w:rsid w:val="00A1068D"/>
    <w:rPr>
      <w:rFonts w:ascii="Arial" w:hAnsi="Arial" w:cs="Times New Roman"/>
      <w:sz w:val="20"/>
      <w:szCs w:val="20"/>
    </w:rPr>
  </w:style>
  <w:style w:type="character" w:styleId="FootnoteReference">
    <w:name w:val="footnote reference"/>
    <w:basedOn w:val="DefaultParagraphFont"/>
    <w:uiPriority w:val="99"/>
    <w:semiHidden/>
    <w:unhideWhenUsed/>
    <w:rsid w:val="00A1068D"/>
    <w:rPr>
      <w:vertAlign w:val="superscript"/>
    </w:rPr>
  </w:style>
  <w:style w:type="character" w:styleId="CommentReference">
    <w:name w:val="annotation reference"/>
    <w:basedOn w:val="DefaultParagraphFont"/>
    <w:uiPriority w:val="99"/>
    <w:semiHidden/>
    <w:unhideWhenUsed/>
    <w:rsid w:val="0012486F"/>
    <w:rPr>
      <w:sz w:val="16"/>
      <w:szCs w:val="16"/>
    </w:rPr>
  </w:style>
  <w:style w:type="paragraph" w:styleId="CommentText">
    <w:name w:val="annotation text"/>
    <w:basedOn w:val="Normal"/>
    <w:link w:val="CommentTextChar"/>
    <w:uiPriority w:val="99"/>
    <w:unhideWhenUsed/>
    <w:rsid w:val="0012486F"/>
    <w:rPr>
      <w:sz w:val="20"/>
    </w:rPr>
  </w:style>
  <w:style w:type="character" w:customStyle="1" w:styleId="CommentTextChar">
    <w:name w:val="Comment Text Char"/>
    <w:basedOn w:val="DefaultParagraphFont"/>
    <w:link w:val="CommentText"/>
    <w:uiPriority w:val="99"/>
    <w:rsid w:val="0012486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2486F"/>
    <w:rPr>
      <w:b/>
      <w:bCs/>
    </w:rPr>
  </w:style>
  <w:style w:type="character" w:customStyle="1" w:styleId="CommentSubjectChar">
    <w:name w:val="Comment Subject Char"/>
    <w:basedOn w:val="CommentTextChar"/>
    <w:link w:val="CommentSubject"/>
    <w:uiPriority w:val="99"/>
    <w:semiHidden/>
    <w:rsid w:val="0012486F"/>
    <w:rPr>
      <w:rFonts w:ascii="Arial" w:hAnsi="Arial" w:cs="Times New Roman"/>
      <w:b/>
      <w:bCs/>
      <w:sz w:val="20"/>
      <w:szCs w:val="20"/>
    </w:rPr>
  </w:style>
  <w:style w:type="paragraph" w:styleId="BalloonText">
    <w:name w:val="Balloon Text"/>
    <w:basedOn w:val="Normal"/>
    <w:link w:val="BalloonTextChar"/>
    <w:uiPriority w:val="99"/>
    <w:semiHidden/>
    <w:unhideWhenUsed/>
    <w:rsid w:val="0012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6F"/>
    <w:rPr>
      <w:rFonts w:ascii="Segoe UI" w:hAnsi="Segoe UI" w:cs="Segoe UI"/>
      <w:sz w:val="18"/>
      <w:szCs w:val="18"/>
    </w:rPr>
  </w:style>
  <w:style w:type="paragraph" w:customStyle="1" w:styleId="Default">
    <w:name w:val="Default"/>
    <w:rsid w:val="00156F0A"/>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1B3B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B9F"/>
    <w:rPr>
      <w:rFonts w:asciiTheme="majorHAnsi" w:eastAsiaTheme="majorEastAsia" w:hAnsiTheme="majorHAnsi" w:cstheme="majorBidi"/>
      <w:spacing w:val="-10"/>
      <w:kern w:val="28"/>
      <w:sz w:val="56"/>
      <w:szCs w:val="56"/>
    </w:rPr>
  </w:style>
  <w:style w:type="paragraph" w:customStyle="1" w:styleId="Onlyuseindocheader-doctitle">
    <w:name w:val="Only use in doc header - doc title"/>
    <w:link w:val="Onlyuseindocheader-doctitleChar"/>
    <w:qFormat/>
    <w:rsid w:val="00C84131"/>
    <w:pPr>
      <w:spacing w:before="60" w:after="60" w:line="600" w:lineRule="exact"/>
    </w:pPr>
    <w:rPr>
      <w:rFonts w:ascii="Arial Black" w:hAnsi="Arial Black" w:cs="Times New Roman"/>
      <w:spacing w:val="-20"/>
      <w:sz w:val="64"/>
      <w:szCs w:val="64"/>
      <w:lang w:val="en-US"/>
    </w:rPr>
  </w:style>
  <w:style w:type="paragraph" w:customStyle="1" w:styleId="Onlyuseindocheader-categorystyle">
    <w:name w:val="Only use in doc header - category style"/>
    <w:qFormat/>
    <w:rsid w:val="00C84131"/>
    <w:rPr>
      <w:rFonts w:ascii="Arial" w:hAnsi="Arial" w:cs="Times New Roman"/>
      <w:b/>
      <w:noProof/>
      <w:color w:val="FF0000"/>
      <w:lang w:eastAsia="en-GB"/>
    </w:rPr>
  </w:style>
  <w:style w:type="paragraph" w:customStyle="1" w:styleId="Onlyuseindocheader-subtitleifneeded">
    <w:name w:val="Only use in doc header  - subtitle if needed"/>
    <w:link w:val="Onlyuseindocheader-subtitleifneededChar"/>
    <w:qFormat/>
    <w:rsid w:val="00C84131"/>
    <w:rPr>
      <w:rFonts w:ascii="Arial" w:hAnsi="Arial" w:cs="Times New Roman"/>
      <w:b/>
      <w:sz w:val="26"/>
      <w:szCs w:val="26"/>
      <w:lang w:val="en-US"/>
    </w:rPr>
  </w:style>
  <w:style w:type="character" w:customStyle="1" w:styleId="Onlyuseindocheader-doctitleChar">
    <w:name w:val="Only use in doc header - doc title Char"/>
    <w:basedOn w:val="DefaultParagraphFont"/>
    <w:link w:val="Onlyuseindocheader-doctitle"/>
    <w:rsid w:val="00C84131"/>
    <w:rPr>
      <w:rFonts w:ascii="Arial Black" w:hAnsi="Arial Black" w:cs="Times New Roman"/>
      <w:spacing w:val="-20"/>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C84131"/>
    <w:rPr>
      <w:rFonts w:ascii="Arial" w:hAnsi="Arial" w:cs="Times New Roman"/>
      <w:b/>
      <w:sz w:val="26"/>
      <w:szCs w:val="26"/>
      <w:lang w:val="en-US"/>
    </w:rPr>
  </w:style>
  <w:style w:type="paragraph" w:styleId="ListBullet5">
    <w:name w:val="List Bullet 5"/>
    <w:basedOn w:val="Normal"/>
    <w:semiHidden/>
    <w:rsid w:val="00613CF8"/>
    <w:pPr>
      <w:numPr>
        <w:numId w:val="9"/>
      </w:numPr>
      <w:spacing w:after="120" w:line="288" w:lineRule="auto"/>
    </w:pPr>
    <w:rPr>
      <w:sz w:val="22"/>
      <w:szCs w:val="24"/>
      <w:lang w:val="en-US"/>
    </w:rPr>
  </w:style>
  <w:style w:type="paragraph" w:customStyle="1" w:styleId="Bulletedlist">
    <w:name w:val="Bulleted list"/>
    <w:basedOn w:val="Normal"/>
    <w:rsid w:val="00613CF8"/>
    <w:pPr>
      <w:numPr>
        <w:numId w:val="10"/>
      </w:numPr>
      <w:spacing w:after="120" w:line="288" w:lineRule="auto"/>
      <w:contextualSpacing/>
    </w:pPr>
    <w:rPr>
      <w:sz w:val="22"/>
      <w:szCs w:val="24"/>
      <w:lang w:val="en-US"/>
    </w:rPr>
  </w:style>
  <w:style w:type="character" w:customStyle="1" w:styleId="BodytextChar">
    <w:name w:val="Body text Char"/>
    <w:basedOn w:val="DefaultParagraphFont"/>
    <w:link w:val="BodyText1"/>
    <w:rsid w:val="00613CF8"/>
    <w:rPr>
      <w:rFonts w:ascii="Arial" w:hAnsi="Arial"/>
      <w:szCs w:val="24"/>
      <w:lang w:val="en-US"/>
    </w:rPr>
  </w:style>
  <w:style w:type="paragraph" w:customStyle="1" w:styleId="BodyText1">
    <w:name w:val="Body Text1"/>
    <w:link w:val="BodytextChar"/>
    <w:rsid w:val="00613CF8"/>
    <w:pPr>
      <w:spacing w:after="120" w:line="288" w:lineRule="auto"/>
    </w:pPr>
    <w:rPr>
      <w:rFonts w:ascii="Arial" w:hAnsi="Arial"/>
      <w:szCs w:val="24"/>
      <w:lang w:val="en-US"/>
    </w:rPr>
  </w:style>
  <w:style w:type="paragraph" w:customStyle="1" w:styleId="List-bullets">
    <w:name w:val="List - bullets"/>
    <w:basedOn w:val="Bulletedlist"/>
    <w:link w:val="List-bulletsChar"/>
    <w:qFormat/>
    <w:rsid w:val="00613CF8"/>
  </w:style>
  <w:style w:type="character" w:customStyle="1" w:styleId="List-bulletsChar">
    <w:name w:val="List - bullets Char"/>
    <w:basedOn w:val="DefaultParagraphFont"/>
    <w:link w:val="List-bullets"/>
    <w:rsid w:val="00613CF8"/>
    <w:rPr>
      <w:rFonts w:ascii="Arial" w:hAnsi="Arial" w:cs="Times New Roman"/>
      <w:szCs w:val="24"/>
      <w:lang w:val="en-US"/>
    </w:rPr>
  </w:style>
  <w:style w:type="table" w:customStyle="1" w:styleId="TableGrid1">
    <w:name w:val="Table Grid1"/>
    <w:basedOn w:val="TableNormal"/>
    <w:next w:val="TableGrid"/>
    <w:uiPriority w:val="39"/>
    <w:rsid w:val="00613CF8"/>
    <w:pPr>
      <w:spacing w:line="280" w:lineRule="atLeas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0502"/>
    <w:rPr>
      <w:rFonts w:ascii="Times New Roman" w:hAnsi="Times New Roman"/>
      <w:szCs w:val="24"/>
      <w:lang w:eastAsia="en-GB"/>
    </w:rPr>
  </w:style>
  <w:style w:type="character" w:customStyle="1" w:styleId="normaltextrun1">
    <w:name w:val="normaltextrun1"/>
    <w:basedOn w:val="DefaultParagraphFont"/>
    <w:rsid w:val="003C0502"/>
  </w:style>
  <w:style w:type="character" w:customStyle="1" w:styleId="eop">
    <w:name w:val="eop"/>
    <w:basedOn w:val="DefaultParagraphFont"/>
    <w:rsid w:val="003C0502"/>
  </w:style>
  <w:style w:type="character" w:styleId="UnresolvedMention">
    <w:name w:val="Unresolved Mention"/>
    <w:basedOn w:val="DefaultParagraphFont"/>
    <w:uiPriority w:val="99"/>
    <w:semiHidden/>
    <w:unhideWhenUsed/>
    <w:rsid w:val="006847F1"/>
    <w:rPr>
      <w:color w:val="605E5C"/>
      <w:shd w:val="clear" w:color="auto" w:fill="E1DFDD"/>
    </w:rPr>
  </w:style>
  <w:style w:type="paragraph" w:styleId="Revision">
    <w:name w:val="Revision"/>
    <w:hidden/>
    <w:uiPriority w:val="99"/>
    <w:semiHidden/>
    <w:rsid w:val="008A2954"/>
    <w:rPr>
      <w:rFonts w:ascii="Arial" w:hAnsi="Arial" w:cs="Times New Roman"/>
      <w:sz w:val="24"/>
      <w:szCs w:val="20"/>
    </w:rPr>
  </w:style>
  <w:style w:type="paragraph" w:styleId="NormalWeb">
    <w:name w:val="Normal (Web)"/>
    <w:basedOn w:val="Normal"/>
    <w:uiPriority w:val="99"/>
    <w:unhideWhenUsed/>
    <w:rsid w:val="00CE5DA8"/>
    <w:pPr>
      <w:spacing w:before="100" w:beforeAutospacing="1" w:after="100" w:afterAutospacing="1"/>
    </w:pPr>
    <w:rPr>
      <w:rFonts w:ascii="Times New Roman" w:hAnsi="Times New Roman"/>
      <w:szCs w:val="24"/>
      <w:lang w:eastAsia="en-GB"/>
    </w:rPr>
  </w:style>
  <w:style w:type="character" w:customStyle="1" w:styleId="cf01">
    <w:name w:val="cf01"/>
    <w:basedOn w:val="DefaultParagraphFont"/>
    <w:rsid w:val="00CE5D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1616">
      <w:bodyDiv w:val="1"/>
      <w:marLeft w:val="0"/>
      <w:marRight w:val="0"/>
      <w:marTop w:val="0"/>
      <w:marBottom w:val="0"/>
      <w:divBdr>
        <w:top w:val="none" w:sz="0" w:space="0" w:color="auto"/>
        <w:left w:val="none" w:sz="0" w:space="0" w:color="auto"/>
        <w:bottom w:val="none" w:sz="0" w:space="0" w:color="auto"/>
        <w:right w:val="none" w:sz="0" w:space="0" w:color="auto"/>
      </w:divBdr>
    </w:div>
    <w:div w:id="155265408">
      <w:bodyDiv w:val="1"/>
      <w:marLeft w:val="0"/>
      <w:marRight w:val="0"/>
      <w:marTop w:val="0"/>
      <w:marBottom w:val="0"/>
      <w:divBdr>
        <w:top w:val="none" w:sz="0" w:space="0" w:color="auto"/>
        <w:left w:val="none" w:sz="0" w:space="0" w:color="auto"/>
        <w:bottom w:val="none" w:sz="0" w:space="0" w:color="auto"/>
        <w:right w:val="none" w:sz="0" w:space="0" w:color="auto"/>
      </w:divBdr>
      <w:divsChild>
        <w:div w:id="372538694">
          <w:marLeft w:val="0"/>
          <w:marRight w:val="0"/>
          <w:marTop w:val="0"/>
          <w:marBottom w:val="0"/>
          <w:divBdr>
            <w:top w:val="none" w:sz="0" w:space="0" w:color="auto"/>
            <w:left w:val="none" w:sz="0" w:space="0" w:color="auto"/>
            <w:bottom w:val="none" w:sz="0" w:space="0" w:color="auto"/>
            <w:right w:val="none" w:sz="0" w:space="0" w:color="auto"/>
          </w:divBdr>
          <w:divsChild>
            <w:div w:id="1948391009">
              <w:marLeft w:val="0"/>
              <w:marRight w:val="0"/>
              <w:marTop w:val="0"/>
              <w:marBottom w:val="0"/>
              <w:divBdr>
                <w:top w:val="none" w:sz="0" w:space="0" w:color="auto"/>
                <w:left w:val="none" w:sz="0" w:space="0" w:color="auto"/>
                <w:bottom w:val="none" w:sz="0" w:space="0" w:color="auto"/>
                <w:right w:val="none" w:sz="0" w:space="0" w:color="auto"/>
              </w:divBdr>
              <w:divsChild>
                <w:div w:id="1397583856">
                  <w:marLeft w:val="0"/>
                  <w:marRight w:val="0"/>
                  <w:marTop w:val="0"/>
                  <w:marBottom w:val="0"/>
                  <w:divBdr>
                    <w:top w:val="none" w:sz="0" w:space="0" w:color="auto"/>
                    <w:left w:val="none" w:sz="0" w:space="0" w:color="auto"/>
                    <w:bottom w:val="none" w:sz="0" w:space="0" w:color="auto"/>
                    <w:right w:val="none" w:sz="0" w:space="0" w:color="auto"/>
                  </w:divBdr>
                  <w:divsChild>
                    <w:div w:id="1677729656">
                      <w:marLeft w:val="0"/>
                      <w:marRight w:val="0"/>
                      <w:marTop w:val="0"/>
                      <w:marBottom w:val="0"/>
                      <w:divBdr>
                        <w:top w:val="none" w:sz="0" w:space="0" w:color="auto"/>
                        <w:left w:val="none" w:sz="0" w:space="0" w:color="auto"/>
                        <w:bottom w:val="none" w:sz="0" w:space="0" w:color="auto"/>
                        <w:right w:val="none" w:sz="0" w:space="0" w:color="auto"/>
                      </w:divBdr>
                      <w:divsChild>
                        <w:div w:id="672341837">
                          <w:marLeft w:val="0"/>
                          <w:marRight w:val="0"/>
                          <w:marTop w:val="0"/>
                          <w:marBottom w:val="0"/>
                          <w:divBdr>
                            <w:top w:val="none" w:sz="0" w:space="0" w:color="auto"/>
                            <w:left w:val="none" w:sz="0" w:space="0" w:color="auto"/>
                            <w:bottom w:val="none" w:sz="0" w:space="0" w:color="auto"/>
                            <w:right w:val="none" w:sz="0" w:space="0" w:color="auto"/>
                          </w:divBdr>
                          <w:divsChild>
                            <w:div w:id="1359314113">
                              <w:marLeft w:val="0"/>
                              <w:marRight w:val="0"/>
                              <w:marTop w:val="0"/>
                              <w:marBottom w:val="0"/>
                              <w:divBdr>
                                <w:top w:val="none" w:sz="0" w:space="0" w:color="auto"/>
                                <w:left w:val="none" w:sz="0" w:space="0" w:color="auto"/>
                                <w:bottom w:val="none" w:sz="0" w:space="0" w:color="auto"/>
                                <w:right w:val="none" w:sz="0" w:space="0" w:color="auto"/>
                              </w:divBdr>
                              <w:divsChild>
                                <w:div w:id="347827717">
                                  <w:marLeft w:val="0"/>
                                  <w:marRight w:val="0"/>
                                  <w:marTop w:val="0"/>
                                  <w:marBottom w:val="0"/>
                                  <w:divBdr>
                                    <w:top w:val="none" w:sz="0" w:space="0" w:color="auto"/>
                                    <w:left w:val="none" w:sz="0" w:space="0" w:color="auto"/>
                                    <w:bottom w:val="none" w:sz="0" w:space="0" w:color="auto"/>
                                    <w:right w:val="none" w:sz="0" w:space="0" w:color="auto"/>
                                  </w:divBdr>
                                  <w:divsChild>
                                    <w:div w:id="1114639675">
                                      <w:marLeft w:val="0"/>
                                      <w:marRight w:val="0"/>
                                      <w:marTop w:val="0"/>
                                      <w:marBottom w:val="0"/>
                                      <w:divBdr>
                                        <w:top w:val="none" w:sz="0" w:space="0" w:color="auto"/>
                                        <w:left w:val="none" w:sz="0" w:space="0" w:color="auto"/>
                                        <w:bottom w:val="none" w:sz="0" w:space="0" w:color="auto"/>
                                        <w:right w:val="none" w:sz="0" w:space="0" w:color="auto"/>
                                      </w:divBdr>
                                      <w:divsChild>
                                        <w:div w:id="726685730">
                                          <w:marLeft w:val="0"/>
                                          <w:marRight w:val="0"/>
                                          <w:marTop w:val="0"/>
                                          <w:marBottom w:val="0"/>
                                          <w:divBdr>
                                            <w:top w:val="none" w:sz="0" w:space="0" w:color="auto"/>
                                            <w:left w:val="none" w:sz="0" w:space="0" w:color="auto"/>
                                            <w:bottom w:val="none" w:sz="0" w:space="0" w:color="auto"/>
                                            <w:right w:val="none" w:sz="0" w:space="0" w:color="auto"/>
                                          </w:divBdr>
                                          <w:divsChild>
                                            <w:div w:id="307712243">
                                              <w:marLeft w:val="0"/>
                                              <w:marRight w:val="0"/>
                                              <w:marTop w:val="0"/>
                                              <w:marBottom w:val="0"/>
                                              <w:divBdr>
                                                <w:top w:val="none" w:sz="0" w:space="0" w:color="auto"/>
                                                <w:left w:val="none" w:sz="0" w:space="0" w:color="auto"/>
                                                <w:bottom w:val="none" w:sz="0" w:space="0" w:color="auto"/>
                                                <w:right w:val="none" w:sz="0" w:space="0" w:color="auto"/>
                                              </w:divBdr>
                                              <w:divsChild>
                                                <w:div w:id="340350712">
                                                  <w:marLeft w:val="0"/>
                                                  <w:marRight w:val="0"/>
                                                  <w:marTop w:val="0"/>
                                                  <w:marBottom w:val="390"/>
                                                  <w:divBdr>
                                                    <w:top w:val="none" w:sz="0" w:space="0" w:color="auto"/>
                                                    <w:left w:val="none" w:sz="0" w:space="0" w:color="auto"/>
                                                    <w:bottom w:val="none" w:sz="0" w:space="0" w:color="auto"/>
                                                    <w:right w:val="none" w:sz="0" w:space="0" w:color="auto"/>
                                                  </w:divBdr>
                                                  <w:divsChild>
                                                    <w:div w:id="571085342">
                                                      <w:marLeft w:val="0"/>
                                                      <w:marRight w:val="0"/>
                                                      <w:marTop w:val="0"/>
                                                      <w:marBottom w:val="0"/>
                                                      <w:divBdr>
                                                        <w:top w:val="none" w:sz="0" w:space="0" w:color="auto"/>
                                                        <w:left w:val="none" w:sz="0" w:space="0" w:color="auto"/>
                                                        <w:bottom w:val="none" w:sz="0" w:space="0" w:color="auto"/>
                                                        <w:right w:val="none" w:sz="0" w:space="0" w:color="auto"/>
                                                      </w:divBdr>
                                                      <w:divsChild>
                                                        <w:div w:id="837306691">
                                                          <w:marLeft w:val="0"/>
                                                          <w:marRight w:val="0"/>
                                                          <w:marTop w:val="0"/>
                                                          <w:marBottom w:val="0"/>
                                                          <w:divBdr>
                                                            <w:top w:val="single" w:sz="6" w:space="0" w:color="ABABAB"/>
                                                            <w:left w:val="single" w:sz="6" w:space="0" w:color="ABABAB"/>
                                                            <w:bottom w:val="single" w:sz="6" w:space="0" w:color="ABABAB"/>
                                                            <w:right w:val="single" w:sz="6" w:space="0" w:color="ABABAB"/>
                                                          </w:divBdr>
                                                          <w:divsChild>
                                                            <w:div w:id="1691642785">
                                                              <w:marLeft w:val="0"/>
                                                              <w:marRight w:val="0"/>
                                                              <w:marTop w:val="0"/>
                                                              <w:marBottom w:val="0"/>
                                                              <w:divBdr>
                                                                <w:top w:val="none" w:sz="0" w:space="0" w:color="auto"/>
                                                                <w:left w:val="none" w:sz="0" w:space="0" w:color="auto"/>
                                                                <w:bottom w:val="none" w:sz="0" w:space="0" w:color="auto"/>
                                                                <w:right w:val="none" w:sz="0" w:space="0" w:color="auto"/>
                                                              </w:divBdr>
                                                              <w:divsChild>
                                                                <w:div w:id="1084378984">
                                                                  <w:marLeft w:val="0"/>
                                                                  <w:marRight w:val="0"/>
                                                                  <w:marTop w:val="0"/>
                                                                  <w:marBottom w:val="0"/>
                                                                  <w:divBdr>
                                                                    <w:top w:val="none" w:sz="0" w:space="0" w:color="auto"/>
                                                                    <w:left w:val="none" w:sz="0" w:space="0" w:color="auto"/>
                                                                    <w:bottom w:val="none" w:sz="0" w:space="0" w:color="auto"/>
                                                                    <w:right w:val="none" w:sz="0" w:space="0" w:color="auto"/>
                                                                  </w:divBdr>
                                                                  <w:divsChild>
                                                                    <w:div w:id="50229531">
                                                                      <w:marLeft w:val="0"/>
                                                                      <w:marRight w:val="0"/>
                                                                      <w:marTop w:val="0"/>
                                                                      <w:marBottom w:val="0"/>
                                                                      <w:divBdr>
                                                                        <w:top w:val="none" w:sz="0" w:space="0" w:color="auto"/>
                                                                        <w:left w:val="none" w:sz="0" w:space="0" w:color="auto"/>
                                                                        <w:bottom w:val="none" w:sz="0" w:space="0" w:color="auto"/>
                                                                        <w:right w:val="none" w:sz="0" w:space="0" w:color="auto"/>
                                                                      </w:divBdr>
                                                                      <w:divsChild>
                                                                        <w:div w:id="434444573">
                                                                          <w:marLeft w:val="0"/>
                                                                          <w:marRight w:val="0"/>
                                                                          <w:marTop w:val="0"/>
                                                                          <w:marBottom w:val="0"/>
                                                                          <w:divBdr>
                                                                            <w:top w:val="none" w:sz="0" w:space="0" w:color="auto"/>
                                                                            <w:left w:val="none" w:sz="0" w:space="0" w:color="auto"/>
                                                                            <w:bottom w:val="none" w:sz="0" w:space="0" w:color="auto"/>
                                                                            <w:right w:val="none" w:sz="0" w:space="0" w:color="auto"/>
                                                                          </w:divBdr>
                                                                          <w:divsChild>
                                                                            <w:div w:id="1267038901">
                                                                              <w:marLeft w:val="0"/>
                                                                              <w:marRight w:val="0"/>
                                                                              <w:marTop w:val="0"/>
                                                                              <w:marBottom w:val="0"/>
                                                                              <w:divBdr>
                                                                                <w:top w:val="none" w:sz="0" w:space="0" w:color="auto"/>
                                                                                <w:left w:val="none" w:sz="0" w:space="0" w:color="auto"/>
                                                                                <w:bottom w:val="none" w:sz="0" w:space="0" w:color="auto"/>
                                                                                <w:right w:val="none" w:sz="0" w:space="0" w:color="auto"/>
                                                                              </w:divBdr>
                                                                              <w:divsChild>
                                                                                <w:div w:id="204634893">
                                                                                  <w:marLeft w:val="0"/>
                                                                                  <w:marRight w:val="0"/>
                                                                                  <w:marTop w:val="0"/>
                                                                                  <w:marBottom w:val="0"/>
                                                                                  <w:divBdr>
                                                                                    <w:top w:val="none" w:sz="0" w:space="0" w:color="auto"/>
                                                                                    <w:left w:val="none" w:sz="0" w:space="0" w:color="auto"/>
                                                                                    <w:bottom w:val="none" w:sz="0" w:space="0" w:color="auto"/>
                                                                                    <w:right w:val="none" w:sz="0" w:space="0" w:color="auto"/>
                                                                                  </w:divBdr>
                                                                                  <w:divsChild>
                                                                                    <w:div w:id="1281035869">
                                                                                      <w:marLeft w:val="0"/>
                                                                                      <w:marRight w:val="0"/>
                                                                                      <w:marTop w:val="0"/>
                                                                                      <w:marBottom w:val="0"/>
                                                                                      <w:divBdr>
                                                                                        <w:top w:val="none" w:sz="0" w:space="0" w:color="auto"/>
                                                                                        <w:left w:val="none" w:sz="0" w:space="0" w:color="auto"/>
                                                                                        <w:bottom w:val="none" w:sz="0" w:space="0" w:color="auto"/>
                                                                                        <w:right w:val="none" w:sz="0" w:space="0" w:color="auto"/>
                                                                                      </w:divBdr>
                                                                                      <w:divsChild>
                                                                                        <w:div w:id="16545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687">
      <w:bodyDiv w:val="1"/>
      <w:marLeft w:val="0"/>
      <w:marRight w:val="0"/>
      <w:marTop w:val="0"/>
      <w:marBottom w:val="0"/>
      <w:divBdr>
        <w:top w:val="none" w:sz="0" w:space="0" w:color="auto"/>
        <w:left w:val="none" w:sz="0" w:space="0" w:color="auto"/>
        <w:bottom w:val="none" w:sz="0" w:space="0" w:color="auto"/>
        <w:right w:val="none" w:sz="0" w:space="0" w:color="auto"/>
      </w:divBdr>
    </w:div>
    <w:div w:id="1213229729">
      <w:bodyDiv w:val="1"/>
      <w:marLeft w:val="0"/>
      <w:marRight w:val="0"/>
      <w:marTop w:val="0"/>
      <w:marBottom w:val="0"/>
      <w:divBdr>
        <w:top w:val="none" w:sz="0" w:space="0" w:color="auto"/>
        <w:left w:val="none" w:sz="0" w:space="0" w:color="auto"/>
        <w:bottom w:val="none" w:sz="0" w:space="0" w:color="auto"/>
        <w:right w:val="none" w:sz="0" w:space="0" w:color="auto"/>
      </w:divBdr>
    </w:div>
    <w:div w:id="15275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ortscotland.org.uk/media/6653/sgb-investment-eqia-final-ma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_dlc_DocId xmlns="dbb8eb13-8159-49c5-b55e-052e4280298e">PLAN0EQUALIT-1036928201-371</_dlc_DocId>
    <_dlc_DocIdUrl xmlns="dbb8eb13-8159-49c5-b55e-052e4280298e">
      <Url>https://sportscotland.sharepoint.com/sites/PLAN_Equality/_layouts/15/DocIdRedir.aspx?ID=PLAN0EQUALIT-1036928201-371</Url>
      <Description>PLAN0EQUALIT-1036928201-371</Description>
    </_dlc_DocIdUrl>
    <Documentversion xmlns="ac18e764-948b-488a-8d7a-710548a0eb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werpoint" ma:contentTypeID="0x0101006401E75F91CC6E4990761BD7B6651BA300C9A8E32677806A4BBA1E260BEFAD6B08" ma:contentTypeVersion="15" ma:contentTypeDescription="Create new Powerpoint Presentation" ma:contentTypeScope="" ma:versionID="53bdafb07d532da64e12f8a0a0cc1ece">
  <xsd:schema xmlns:xsd="http://www.w3.org/2001/XMLSchema" xmlns:xs="http://www.w3.org/2001/XMLSchema" xmlns:p="http://schemas.microsoft.com/office/2006/metadata/properties" xmlns:ns2="dbb8eb13-8159-49c5-b55e-052e4280298e" xmlns:ns3="ac18e764-948b-488a-8d7a-710548a0eb67" targetNamespace="http://schemas.microsoft.com/office/2006/metadata/properties" ma:root="true" ma:fieldsID="88536a25801b5d6eae58532cd60c1e81" ns2:_="" ns3:_="">
    <xsd:import namespace="dbb8eb13-8159-49c5-b55e-052e4280298e"/>
    <xsd:import namespace="ac18e764-948b-488a-8d7a-710548a0eb67"/>
    <xsd:element name="properties">
      <xsd:complexType>
        <xsd:sequence>
          <xsd:element name="documentManagement">
            <xsd:complexType>
              <xsd:all>
                <xsd:element ref="ns2:Expired" minOccurs="0"/>
                <xsd:element ref="ns2:_dlc_DocId" minOccurs="0"/>
                <xsd:element ref="ns2:_dlc_DocIdUrl" minOccurs="0"/>
                <xsd:element ref="ns2:_dlc_DocIdPersistId" minOccurs="0"/>
                <xsd:element ref="ns3: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18e764-948b-488a-8d7a-710548a0eb67" elementFormDefault="qualified">
    <xsd:import namespace="http://schemas.microsoft.com/office/2006/documentManagement/types"/>
    <xsd:import namespace="http://schemas.microsoft.com/office/infopath/2007/PartnerControls"/>
    <xsd:element name="Documentversion" ma:index="12" nillable="true" ma:displayName="Document version" ma:format="Dropdown" ma:internalName="Documentversion">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BF4E-CE3A-4EEF-98A6-BBA78036257E}">
  <ds:schemaRefs>
    <ds:schemaRef ds:uri="http://schemas.microsoft.com/sharepoint/events"/>
  </ds:schemaRefs>
</ds:datastoreItem>
</file>

<file path=customXml/itemProps2.xml><?xml version="1.0" encoding="utf-8"?>
<ds:datastoreItem xmlns:ds="http://schemas.openxmlformats.org/officeDocument/2006/customXml" ds:itemID="{4F3DAAF6-D0DD-4E50-9A1B-126A9B831710}">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dbb8eb13-8159-49c5-b55e-052e4280298e"/>
    <ds:schemaRef ds:uri="http://purl.org/dc/terms/"/>
    <ds:schemaRef ds:uri="http://schemas.microsoft.com/office/infopath/2007/PartnerControls"/>
    <ds:schemaRef ds:uri="ac18e764-948b-488a-8d7a-710548a0eb67"/>
  </ds:schemaRefs>
</ds:datastoreItem>
</file>

<file path=customXml/itemProps3.xml><?xml version="1.0" encoding="utf-8"?>
<ds:datastoreItem xmlns:ds="http://schemas.openxmlformats.org/officeDocument/2006/customXml" ds:itemID="{003F434A-8EB2-4F10-836F-C7EBEFDAC90C}">
  <ds:schemaRefs>
    <ds:schemaRef ds:uri="http://schemas.microsoft.com/sharepoint/v3/contenttype/forms"/>
  </ds:schemaRefs>
</ds:datastoreItem>
</file>

<file path=customXml/itemProps4.xml><?xml version="1.0" encoding="utf-8"?>
<ds:datastoreItem xmlns:ds="http://schemas.openxmlformats.org/officeDocument/2006/customXml" ds:itemID="{3EFD6324-C0A8-4EFF-90AC-E15900E70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ac18e764-948b-488a-8d7a-710548a0e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43BD8D-B57D-4BDF-9C1A-E72D843F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EQIA</vt:lpstr>
    </vt:vector>
  </TitlesOfParts>
  <Company>Scottish Government</Company>
  <LinksUpToDate>false</LinksUpToDate>
  <CharactersWithSpaces>15193</CharactersWithSpaces>
  <SharedDoc>false</SharedDoc>
  <HLinks>
    <vt:vector size="114" baseType="variant">
      <vt:variant>
        <vt:i4>8257573</vt:i4>
      </vt:variant>
      <vt:variant>
        <vt:i4>54</vt:i4>
      </vt:variant>
      <vt:variant>
        <vt:i4>0</vt:i4>
      </vt:variant>
      <vt:variant>
        <vt:i4>5</vt:i4>
      </vt:variant>
      <vt:variant>
        <vt:lpwstr>http://ssc-sharepoint/eo/eq/Equality Evidence Reviews/Right 2B Active - Report on care-experienced young people%27s engagement with sport and physical activity.pdf</vt:lpwstr>
      </vt:variant>
      <vt:variant>
        <vt:lpwstr/>
      </vt:variant>
      <vt:variant>
        <vt:i4>1179729</vt:i4>
      </vt:variant>
      <vt:variant>
        <vt:i4>51</vt:i4>
      </vt:variant>
      <vt:variant>
        <vt:i4>0</vt:i4>
      </vt:variant>
      <vt:variant>
        <vt:i4>5</vt:i4>
      </vt:variant>
      <vt:variant>
        <vt:lpwstr>http://www.out-sport.eu/</vt:lpwstr>
      </vt:variant>
      <vt:variant>
        <vt:lpwstr/>
      </vt:variant>
      <vt:variant>
        <vt:i4>6815777</vt:i4>
      </vt:variant>
      <vt:variant>
        <vt:i4>48</vt:i4>
      </vt:variant>
      <vt:variant>
        <vt:i4>0</vt:i4>
      </vt:variant>
      <vt:variant>
        <vt:i4>5</vt:i4>
      </vt:variant>
      <vt:variant>
        <vt:lpwstr>https://www.equality-network.org/our-work/policyandcampaign/out-for-sport/</vt:lpwstr>
      </vt:variant>
      <vt:variant>
        <vt:lpwstr/>
      </vt:variant>
      <vt:variant>
        <vt:i4>2818110</vt:i4>
      </vt:variant>
      <vt:variant>
        <vt:i4>45</vt:i4>
      </vt:variant>
      <vt:variant>
        <vt:i4>0</vt:i4>
      </vt:variant>
      <vt:variant>
        <vt:i4>5</vt:i4>
      </vt:variant>
      <vt:variant>
        <vt:lpwstr>https://www2.gov.scot/Topics/Statistics/Browse/Children</vt:lpwstr>
      </vt:variant>
      <vt:variant>
        <vt:lpwstr/>
      </vt:variant>
      <vt:variant>
        <vt:i4>4390924</vt:i4>
      </vt:variant>
      <vt:variant>
        <vt:i4>42</vt:i4>
      </vt:variant>
      <vt:variant>
        <vt:i4>0</vt:i4>
      </vt:variant>
      <vt:variant>
        <vt:i4>5</vt:i4>
      </vt:variant>
      <vt:variant>
        <vt:lpwstr>https://www.webarchive.org.uk/wayback/archive/20170701200513/http:/www.gov.scot/Publications/2015/03/6567</vt:lpwstr>
      </vt:variant>
      <vt:variant>
        <vt:lpwstr/>
      </vt:variant>
      <vt:variant>
        <vt:i4>7077931</vt:i4>
      </vt:variant>
      <vt:variant>
        <vt:i4>39</vt:i4>
      </vt:variant>
      <vt:variant>
        <vt:i4>0</vt:i4>
      </vt:variant>
      <vt:variant>
        <vt:i4>5</vt:i4>
      </vt:variant>
      <vt:variant>
        <vt:lpwstr>https://www2.gov.scot/Topics/People/Equality/Equalities/Equalevrev</vt:lpwstr>
      </vt:variant>
      <vt:variant>
        <vt:lpwstr/>
      </vt:variant>
      <vt:variant>
        <vt:i4>3932192</vt:i4>
      </vt:variant>
      <vt:variant>
        <vt:i4>36</vt:i4>
      </vt:variant>
      <vt:variant>
        <vt:i4>0</vt:i4>
      </vt:variant>
      <vt:variant>
        <vt:i4>5</vt:i4>
      </vt:variant>
      <vt:variant>
        <vt:lpwstr>https://scotland.shinyapps.io/sg-equality-evidence-finder/</vt:lpwstr>
      </vt:variant>
      <vt:variant>
        <vt:lpwstr/>
      </vt:variant>
      <vt:variant>
        <vt:i4>3473471</vt:i4>
      </vt:variant>
      <vt:variant>
        <vt:i4>33</vt:i4>
      </vt:variant>
      <vt:variant>
        <vt:i4>0</vt:i4>
      </vt:variant>
      <vt:variant>
        <vt:i4>5</vt:i4>
      </vt:variant>
      <vt:variant>
        <vt:lpwstr>https://sportscotland.org.uk/about-us/equality-at-sportscotland/equality-reporting/</vt:lpwstr>
      </vt:variant>
      <vt:variant>
        <vt:lpwstr/>
      </vt:variant>
      <vt:variant>
        <vt:i4>327706</vt:i4>
      </vt:variant>
      <vt:variant>
        <vt:i4>30</vt:i4>
      </vt:variant>
      <vt:variant>
        <vt:i4>0</vt:i4>
      </vt:variant>
      <vt:variant>
        <vt:i4>5</vt:i4>
      </vt:variant>
      <vt:variant>
        <vt:lpwstr>https://sportscotland.org.uk/media/4707/equality-in-sport-report-sport-and-equality-database.xls</vt:lpwstr>
      </vt:variant>
      <vt:variant>
        <vt:lpwstr/>
      </vt:variant>
      <vt:variant>
        <vt:i4>8061049</vt:i4>
      </vt:variant>
      <vt:variant>
        <vt:i4>27</vt:i4>
      </vt:variant>
      <vt:variant>
        <vt:i4>0</vt:i4>
      </vt:variant>
      <vt:variant>
        <vt:i4>5</vt:i4>
      </vt:variant>
      <vt:variant>
        <vt:lpwstr>https://sportscotland.org.uk/media/3545/learning-note-equalities-schools-and-education.pdf</vt:lpwstr>
      </vt:variant>
      <vt:variant>
        <vt:lpwstr/>
      </vt:variant>
      <vt:variant>
        <vt:i4>4063278</vt:i4>
      </vt:variant>
      <vt:variant>
        <vt:i4>24</vt:i4>
      </vt:variant>
      <vt:variant>
        <vt:i4>0</vt:i4>
      </vt:variant>
      <vt:variant>
        <vt:i4>5</vt:i4>
      </vt:variant>
      <vt:variant>
        <vt:lpwstr>https://sportscotland.org.uk/media/3441/coach-wider-evaluation_-equalities-learning-note_final.pdf</vt:lpwstr>
      </vt:variant>
      <vt:variant>
        <vt:lpwstr/>
      </vt:variant>
      <vt:variant>
        <vt:i4>6750320</vt:i4>
      </vt:variant>
      <vt:variant>
        <vt:i4>21</vt:i4>
      </vt:variant>
      <vt:variant>
        <vt:i4>0</vt:i4>
      </vt:variant>
      <vt:variant>
        <vt:i4>5</vt:i4>
      </vt:variant>
      <vt:variant>
        <vt:lpwstr>https://sportscotland.org.uk/media/3543/learning-note-equalities-clubs-and-communities.pdf</vt:lpwstr>
      </vt:variant>
      <vt:variant>
        <vt:lpwstr/>
      </vt:variant>
      <vt:variant>
        <vt:i4>4915210</vt:i4>
      </vt:variant>
      <vt:variant>
        <vt:i4>18</vt:i4>
      </vt:variant>
      <vt:variant>
        <vt:i4>0</vt:i4>
      </vt:variant>
      <vt:variant>
        <vt:i4>5</vt:i4>
      </vt:variant>
      <vt:variant>
        <vt:lpwstr>https://sportscotland.org.uk/media/2602/equality-in-sport-learning-notes-combined-pdf.pdf</vt:lpwstr>
      </vt:variant>
      <vt:variant>
        <vt:lpwstr/>
      </vt:variant>
      <vt:variant>
        <vt:i4>655449</vt:i4>
      </vt:variant>
      <vt:variant>
        <vt:i4>15</vt:i4>
      </vt:variant>
      <vt:variant>
        <vt:i4>0</vt:i4>
      </vt:variant>
      <vt:variant>
        <vt:i4>5</vt:i4>
      </vt:variant>
      <vt:variant>
        <vt:lpwstr>https://sportscotland.org.uk/about-us/equality-at-sportscotland/equality-and-sport-research/</vt:lpwstr>
      </vt:variant>
      <vt:variant>
        <vt:lpwstr/>
      </vt:variant>
      <vt:variant>
        <vt:i4>6553725</vt:i4>
      </vt:variant>
      <vt:variant>
        <vt:i4>12</vt:i4>
      </vt:variant>
      <vt:variant>
        <vt:i4>0</vt:i4>
      </vt:variant>
      <vt:variant>
        <vt:i4>5</vt:i4>
      </vt:variant>
      <vt:variant>
        <vt:lpwstr>https://sportscotland.org.uk/media/6128/asof-key-findings-report-scotland-clubs-2019-20.pdf</vt:lpwstr>
      </vt:variant>
      <vt:variant>
        <vt:lpwstr/>
      </vt:variant>
      <vt:variant>
        <vt:i4>655390</vt:i4>
      </vt:variant>
      <vt:variant>
        <vt:i4>9</vt:i4>
      </vt:variant>
      <vt:variant>
        <vt:i4>0</vt:i4>
      </vt:variant>
      <vt:variant>
        <vt:i4>5</vt:i4>
      </vt:variant>
      <vt:variant>
        <vt:lpwstr>https://sportscotland.org.uk/media/6129/asof-key-findings-report-scotland-schools-2019-20.pdf</vt:lpwstr>
      </vt:variant>
      <vt:variant>
        <vt:lpwstr/>
      </vt:variant>
      <vt:variant>
        <vt:i4>2818089</vt:i4>
      </vt:variant>
      <vt:variant>
        <vt:i4>6</vt:i4>
      </vt:variant>
      <vt:variant>
        <vt:i4>0</vt:i4>
      </vt:variant>
      <vt:variant>
        <vt:i4>5</vt:i4>
      </vt:variant>
      <vt:variant>
        <vt:lpwstr>http://ssc-sharepoint/eo/pod/202123 Business Plan/Schools and Education - Information and data to inform business planning.docx</vt:lpwstr>
      </vt:variant>
      <vt:variant>
        <vt:lpwstr/>
      </vt:variant>
      <vt:variant>
        <vt:i4>2359349</vt:i4>
      </vt:variant>
      <vt:variant>
        <vt:i4>3</vt:i4>
      </vt:variant>
      <vt:variant>
        <vt:i4>0</vt:i4>
      </vt:variant>
      <vt:variant>
        <vt:i4>5</vt:i4>
      </vt:variant>
      <vt:variant>
        <vt:lpwstr>http://ssc-sharepoint/eo/pod/202123 Business Plan/Clubs and communities - Information and data to inform business planning.docx</vt:lpwstr>
      </vt:variant>
      <vt:variant>
        <vt:lpwstr/>
      </vt:variant>
      <vt:variant>
        <vt:i4>2818103</vt:i4>
      </vt:variant>
      <vt:variant>
        <vt:i4>0</vt:i4>
      </vt:variant>
      <vt:variant>
        <vt:i4>0</vt:i4>
      </vt:variant>
      <vt:variant>
        <vt:i4>5</vt:i4>
      </vt:variant>
      <vt:variant>
        <vt:lpwstr>https://sportscotland.org.uk/media/6653/sgb-investment-eqia-final-may-2021.pdf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subject/>
  <dc:creator>Robinson A (Angela)</dc:creator>
  <cp:keywords/>
  <dc:description/>
  <cp:lastModifiedBy>Amy Costello</cp:lastModifiedBy>
  <cp:revision>8</cp:revision>
  <dcterms:created xsi:type="dcterms:W3CDTF">2024-03-25T13:46:00Z</dcterms:created>
  <dcterms:modified xsi:type="dcterms:W3CDTF">2024-03-25T13:51:00Z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0x0101006401E75F91CC6E4990761BD7B6651BA300C9A8E32677806A4BBA1E260BEFAD6B08</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_dlc_DocIdItemGuid">
    <vt:lpwstr>a24ea318-0dc3-48c8-b7e1-51de99b2e85b</vt:lpwstr>
  </property>
  <property fmtid="{D5CDD505-2E9C-101B-9397-08002B2CF9AE}" pid="6" name="SharedWithUsers">
    <vt:lpwstr>222;#Rob Hardie;#115;#Peter Braidwood;#585;#Geraldine Mcguire;#24;#Darren McKay</vt:lpwstr>
  </property>
</Properties>
</file>